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32FF0">
      <w:pPr>
        <w:rPr>
          <w:rFonts w:hint="eastAsia" w:ascii="仿宋_GB2312" w:hAnsi="仿宋_GB2312" w:eastAsia="仿宋_GB2312" w:cs="仿宋_GB2312"/>
          <w:sz w:val="36"/>
          <w:szCs w:val="36"/>
          <w:lang w:eastAsia="zh-CN"/>
        </w:rPr>
      </w:pPr>
    </w:p>
    <w:p w14:paraId="313CF0ED">
      <w:pPr>
        <w:adjustRightInd w:val="0"/>
        <w:snapToGrid w:val="0"/>
        <w:jc w:val="center"/>
        <w:outlineLvl w:val="0"/>
        <w:rPr>
          <w:rFonts w:hint="eastAsia" w:ascii="黑体" w:hAnsi="黑体" w:eastAsia="黑体" w:cs="黑体"/>
          <w:b/>
          <w:bCs w:val="0"/>
          <w:sz w:val="72"/>
          <w:szCs w:val="72"/>
        </w:rPr>
      </w:pPr>
      <w:r>
        <w:rPr>
          <w:rFonts w:hint="eastAsia" w:ascii="黑体" w:hAnsi="黑体" w:eastAsia="黑体" w:cs="黑体"/>
          <w:b/>
          <w:bCs w:val="0"/>
          <w:sz w:val="72"/>
          <w:szCs w:val="72"/>
        </w:rPr>
        <w:t>建设项目环境影响报告表</w:t>
      </w:r>
    </w:p>
    <w:p w14:paraId="1866F018">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14:paraId="7D2E4DC4">
      <w:pPr>
        <w:adjustRightInd w:val="0"/>
        <w:snapToGrid w:val="0"/>
        <w:spacing w:line="288" w:lineRule="auto"/>
        <w:jc w:val="center"/>
        <w:rPr>
          <w:rFonts w:hint="eastAsia" w:ascii="华文仿宋" w:hAnsi="华文仿宋" w:eastAsia="华文仿宋" w:cs="华文仿宋"/>
          <w:kern w:val="44"/>
          <w:sz w:val="44"/>
          <w:szCs w:val="44"/>
        </w:rPr>
      </w:pPr>
    </w:p>
    <w:p w14:paraId="6AA49F3E">
      <w:pPr>
        <w:jc w:val="center"/>
        <w:rPr>
          <w:rFonts w:eastAsia="仿宋"/>
          <w:sz w:val="52"/>
          <w:szCs w:val="52"/>
        </w:rPr>
      </w:pPr>
    </w:p>
    <w:p w14:paraId="20696FEA">
      <w:pPr>
        <w:ind w:firstLine="1040"/>
        <w:rPr>
          <w:rFonts w:eastAsia="仿宋"/>
          <w:sz w:val="44"/>
          <w:szCs w:val="44"/>
        </w:rPr>
      </w:pPr>
    </w:p>
    <w:p w14:paraId="06D1CB1A">
      <w:pPr>
        <w:ind w:firstLine="1040"/>
        <w:rPr>
          <w:rFonts w:eastAsia="仿宋"/>
          <w:sz w:val="44"/>
          <w:szCs w:val="44"/>
        </w:rPr>
      </w:pPr>
    </w:p>
    <w:p w14:paraId="3EDD56E1">
      <w:pPr>
        <w:adjustRightInd w:val="0"/>
        <w:snapToGrid w:val="0"/>
        <w:spacing w:line="288" w:lineRule="auto"/>
        <w:ind w:firstLine="723" w:firstLineChars="200"/>
        <w:jc w:val="left"/>
        <w:rPr>
          <w:rFonts w:ascii="仿宋_GB2312" w:eastAsia="仿宋_GB2312"/>
          <w:sz w:val="36"/>
          <w:szCs w:val="36"/>
          <w:u w:val="single"/>
        </w:rPr>
      </w:pPr>
      <w:r>
        <w:rPr>
          <w:rFonts w:hint="eastAsia" w:ascii="仿宋_GB2312" w:eastAsia="仿宋_GB2312"/>
          <w:b/>
          <w:bCs/>
          <w:sz w:val="36"/>
          <w:szCs w:val="36"/>
        </w:rPr>
        <w:t>项目名称：</w:t>
      </w:r>
      <w:r>
        <w:rPr>
          <w:rFonts w:hint="eastAsia" w:ascii="仿宋_GB2312" w:eastAsia="仿宋_GB2312"/>
          <w:sz w:val="36"/>
          <w:szCs w:val="36"/>
          <w:u w:val="single"/>
        </w:rPr>
        <w:t>扬州德沪智能装备有限公司年产600台</w:t>
      </w:r>
    </w:p>
    <w:p w14:paraId="29A7658E">
      <w:pPr>
        <w:adjustRightInd w:val="0"/>
        <w:snapToGrid w:val="0"/>
        <w:spacing w:line="288" w:lineRule="auto"/>
        <w:ind w:firstLine="2520" w:firstLineChars="700"/>
        <w:jc w:val="left"/>
        <w:rPr>
          <w:rFonts w:ascii="仿宋_GB2312" w:eastAsia="仿宋_GB2312"/>
          <w:sz w:val="28"/>
          <w:szCs w:val="28"/>
          <w:u w:val="single"/>
        </w:rPr>
      </w:pPr>
      <w:r>
        <w:rPr>
          <w:rFonts w:hint="eastAsia" w:ascii="仿宋_GB2312" w:eastAsia="仿宋_GB2312"/>
          <w:sz w:val="36"/>
          <w:szCs w:val="36"/>
          <w:u w:val="single"/>
        </w:rPr>
        <w:t>套钙钛矿光伏智能装备研发及制造项目</w:t>
      </w:r>
    </w:p>
    <w:p w14:paraId="21928430">
      <w:pPr>
        <w:adjustRightInd w:val="0"/>
        <w:snapToGrid w:val="0"/>
        <w:spacing w:line="288" w:lineRule="auto"/>
        <w:ind w:firstLine="723" w:firstLineChars="200"/>
        <w:jc w:val="left"/>
        <w:rPr>
          <w:rFonts w:ascii="仿宋_GB2312" w:eastAsia="仿宋_GB2312"/>
          <w:sz w:val="36"/>
          <w:szCs w:val="36"/>
          <w:u w:val="single"/>
        </w:rPr>
      </w:pPr>
      <w:r>
        <w:rPr>
          <w:rFonts w:hint="eastAsia" w:ascii="仿宋_GB2312" w:eastAsia="仿宋_GB2312"/>
          <w:b/>
          <w:bCs/>
          <w:sz w:val="36"/>
          <w:szCs w:val="36"/>
        </w:rPr>
        <w:t>建设单位（盖章）：</w:t>
      </w:r>
      <w:r>
        <w:rPr>
          <w:rFonts w:hint="eastAsia" w:ascii="仿宋_GB2312" w:eastAsia="仿宋_GB2312"/>
          <w:sz w:val="36"/>
          <w:szCs w:val="36"/>
          <w:u w:val="single"/>
        </w:rPr>
        <w:t xml:space="preserve"> </w:t>
      </w:r>
      <w:r>
        <w:rPr>
          <w:rFonts w:hint="eastAsia" w:ascii="仿宋_GB2312" w:eastAsia="仿宋_GB2312"/>
          <w:b w:val="0"/>
          <w:bCs w:val="0"/>
          <w:sz w:val="36"/>
          <w:szCs w:val="36"/>
          <w:u w:val="single"/>
        </w:rPr>
        <w:t>扬州德沪智能装备有限公司</w:t>
      </w:r>
      <w:r>
        <w:rPr>
          <w:rFonts w:hint="eastAsia" w:ascii="仿宋_GB2312" w:eastAsia="仿宋_GB2312"/>
          <w:sz w:val="36"/>
          <w:szCs w:val="36"/>
          <w:u w:val="single"/>
        </w:rPr>
        <w:t xml:space="preserve"> </w:t>
      </w:r>
    </w:p>
    <w:p w14:paraId="68B2D4F2">
      <w:pPr>
        <w:adjustRightInd w:val="0"/>
        <w:snapToGrid w:val="0"/>
        <w:spacing w:line="288" w:lineRule="auto"/>
        <w:jc w:val="left"/>
        <w:rPr>
          <w:rFonts w:ascii="仿宋_GB2312" w:eastAsia="仿宋_GB2312"/>
          <w:sz w:val="36"/>
          <w:szCs w:val="36"/>
          <w:u w:val="single"/>
        </w:rPr>
      </w:pPr>
    </w:p>
    <w:p w14:paraId="091BC6F2">
      <w:pPr>
        <w:adjustRightInd w:val="0"/>
        <w:snapToGrid w:val="0"/>
        <w:spacing w:line="288" w:lineRule="auto"/>
        <w:jc w:val="left"/>
        <w:rPr>
          <w:rFonts w:ascii="仿宋_GB2312" w:eastAsia="仿宋_GB2312"/>
          <w:sz w:val="36"/>
          <w:szCs w:val="36"/>
          <w:u w:val="single"/>
        </w:rPr>
      </w:pPr>
    </w:p>
    <w:p w14:paraId="73FFCB47">
      <w:pPr>
        <w:pStyle w:val="2"/>
      </w:pPr>
    </w:p>
    <w:p w14:paraId="46C76E2C">
      <w:pPr>
        <w:pStyle w:val="4"/>
        <w:rPr>
          <w:rFonts w:hint="eastAsia"/>
        </w:rPr>
      </w:pPr>
    </w:p>
    <w:p w14:paraId="4AD46649">
      <w:pPr>
        <w:adjustRightInd w:val="0"/>
        <w:snapToGrid w:val="0"/>
        <w:spacing w:line="288" w:lineRule="auto"/>
        <w:jc w:val="left"/>
        <w:rPr>
          <w:rFonts w:ascii="仿宋_GB2312" w:eastAsia="仿宋_GB2312"/>
          <w:sz w:val="36"/>
          <w:szCs w:val="36"/>
          <w:u w:val="single"/>
        </w:rPr>
      </w:pPr>
    </w:p>
    <w:p w14:paraId="7C2C292E">
      <w:pPr>
        <w:adjustRightInd w:val="0"/>
        <w:snapToGrid w:val="0"/>
        <w:spacing w:line="288" w:lineRule="auto"/>
        <w:jc w:val="left"/>
        <w:rPr>
          <w:rFonts w:ascii="仿宋_GB2312" w:eastAsia="仿宋_GB2312"/>
          <w:sz w:val="36"/>
          <w:szCs w:val="36"/>
          <w:u w:val="single"/>
        </w:rPr>
      </w:pPr>
    </w:p>
    <w:p w14:paraId="33F9912A">
      <w:pPr>
        <w:adjustRightInd w:val="0"/>
        <w:snapToGrid w:val="0"/>
        <w:spacing w:line="288" w:lineRule="auto"/>
        <w:jc w:val="left"/>
        <w:rPr>
          <w:rFonts w:ascii="仿宋_GB2312" w:eastAsia="仿宋_GB2312"/>
          <w:sz w:val="36"/>
          <w:szCs w:val="36"/>
          <w:u w:val="single"/>
        </w:rPr>
      </w:pPr>
    </w:p>
    <w:p w14:paraId="06457606">
      <w:pPr>
        <w:bidi w:val="0"/>
      </w:pPr>
    </w:p>
    <w:p w14:paraId="3143F695">
      <w:pPr>
        <w:adjustRightInd w:val="0"/>
        <w:snapToGrid w:val="0"/>
        <w:spacing w:line="288" w:lineRule="auto"/>
        <w:jc w:val="center"/>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none"/>
        </w:rPr>
        <w:t xml:space="preserve"> </w:t>
      </w:r>
      <w:r>
        <w:rPr>
          <w:rFonts w:ascii="仿宋_GB2312" w:eastAsia="仿宋_GB2312"/>
          <w:sz w:val="36"/>
          <w:szCs w:val="36"/>
          <w:u w:val="none"/>
        </w:rPr>
        <w:t xml:space="preserve">  </w:t>
      </w:r>
      <w:r>
        <w:rPr>
          <w:rFonts w:eastAsia="仿宋_GB2312"/>
          <w:sz w:val="36"/>
          <w:szCs w:val="36"/>
          <w:u w:val="none"/>
        </w:rPr>
        <w:t>二〇二</w:t>
      </w:r>
      <w:r>
        <w:rPr>
          <w:rFonts w:hint="eastAsia" w:eastAsia="仿宋_GB2312"/>
          <w:sz w:val="36"/>
          <w:szCs w:val="36"/>
          <w:u w:val="none"/>
        </w:rPr>
        <w:t>四</w:t>
      </w:r>
      <w:r>
        <w:rPr>
          <w:rFonts w:eastAsia="仿宋_GB2312"/>
          <w:sz w:val="36"/>
          <w:szCs w:val="36"/>
          <w:u w:val="none"/>
        </w:rPr>
        <w:t>年</w:t>
      </w:r>
      <w:r>
        <w:rPr>
          <w:rFonts w:hint="eastAsia" w:eastAsia="仿宋_GB2312"/>
          <w:sz w:val="36"/>
          <w:szCs w:val="36"/>
          <w:u w:val="none"/>
          <w:lang w:eastAsia="zh-CN"/>
        </w:rPr>
        <w:t>八</w:t>
      </w:r>
      <w:r>
        <w:rPr>
          <w:rFonts w:eastAsia="仿宋_GB2312"/>
          <w:sz w:val="36"/>
          <w:szCs w:val="36"/>
          <w:u w:val="none"/>
        </w:rPr>
        <w:t>月</w:t>
      </w:r>
      <w:r>
        <w:rPr>
          <w:rFonts w:hint="eastAsia" w:ascii="仿宋_GB2312" w:eastAsia="仿宋_GB2312"/>
          <w:sz w:val="36"/>
          <w:szCs w:val="36"/>
          <w:u w:val="none"/>
        </w:rPr>
        <w:t xml:space="preserve"> </w:t>
      </w:r>
      <w:r>
        <w:rPr>
          <w:rFonts w:ascii="仿宋_GB2312" w:eastAsia="仿宋_GB2312"/>
          <w:sz w:val="36"/>
          <w:szCs w:val="36"/>
          <w:u w:val="none"/>
        </w:rPr>
        <w:t xml:space="preserve"> </w:t>
      </w:r>
      <w:r>
        <w:rPr>
          <w:rFonts w:hint="eastAsia" w:ascii="仿宋_GB2312" w:eastAsia="仿宋_GB2312"/>
          <w:sz w:val="36"/>
          <w:szCs w:val="36"/>
          <w:u w:val="none"/>
        </w:rPr>
        <w:t xml:space="preserve">  </w:t>
      </w:r>
    </w:p>
    <w:p w14:paraId="1746FF9A">
      <w:bookmarkStart w:id="0" w:name="_Hlk57884087"/>
    </w:p>
    <w:p w14:paraId="0F0C01D9"/>
    <w:bookmarkEnd w:id="0"/>
    <w:p w14:paraId="0B533622">
      <w:pPr>
        <w:adjustRightInd w:val="0"/>
        <w:snapToGrid w:val="0"/>
        <w:jc w:val="center"/>
        <w:rPr>
          <w:rFonts w:hint="eastAsia" w:ascii="仿宋_GB2312" w:eastAsia="仿宋_GB2312"/>
          <w:sz w:val="36"/>
          <w:szCs w:val="36"/>
        </w:rPr>
      </w:pPr>
      <w:r>
        <w:rPr>
          <w:rFonts w:hint="eastAsia" w:ascii="楷体_GB2312" w:eastAsia="楷体_GB2312"/>
          <w:sz w:val="36"/>
          <w:szCs w:val="36"/>
        </w:rPr>
        <w:t>中华人民共和国生态环境部制</w:t>
      </w:r>
    </w:p>
    <w:p w14:paraId="0877445E">
      <w:pPr>
        <w:pStyle w:val="2"/>
      </w:pPr>
    </w:p>
    <w:p w14:paraId="2F57EDA2">
      <w:pPr>
        <w:pStyle w:val="2"/>
      </w:pPr>
    </w:p>
    <w:p w14:paraId="7CFCCC46">
      <w:pPr>
        <w:pStyle w:val="2"/>
      </w:pPr>
    </w:p>
    <w:p w14:paraId="2B84034C">
      <w:pPr>
        <w:pStyle w:val="4"/>
        <w:adjustRightInd w:val="0"/>
        <w:snapToGrid w:val="0"/>
        <w:spacing w:line="288" w:lineRule="auto"/>
        <w:rPr>
          <w:rFonts w:hint="eastAsia"/>
        </w:rPr>
        <w:sectPr>
          <w:headerReference r:id="rId3" w:type="default"/>
          <w:footerReference r:id="rId4" w:type="default"/>
          <w:footerReference r:id="rId5" w:type="even"/>
          <w:pgSz w:w="11906" w:h="16838"/>
          <w:pgMar w:top="1701" w:right="1531" w:bottom="1701" w:left="1531" w:header="851" w:footer="1077" w:gutter="0"/>
          <w:pgNumType w:start="3"/>
          <w:cols w:space="720" w:num="1"/>
          <w:docGrid w:linePitch="312" w:charSpace="0"/>
        </w:sectPr>
      </w:pPr>
    </w:p>
    <w:p w14:paraId="4CEB8B94">
      <w:pPr>
        <w:widowControl/>
        <w:jc w:val="center"/>
        <w:outlineLvl w:val="0"/>
        <w:rPr>
          <w:rFonts w:hint="eastAsia" w:ascii="黑体" w:hAnsi="黑体" w:eastAsia="黑体"/>
          <w:snapToGrid w:val="0"/>
          <w:sz w:val="30"/>
          <w:szCs w:val="30"/>
        </w:rPr>
      </w:pPr>
      <w:bookmarkStart w:id="1" w:name="_Toc32629"/>
      <w:bookmarkStart w:id="2" w:name="_Toc1286"/>
      <w:r>
        <w:rPr>
          <w:rFonts w:hint="eastAsia" w:ascii="黑体" w:hAnsi="黑体" w:eastAsia="黑体"/>
          <w:snapToGrid w:val="0"/>
          <w:sz w:val="30"/>
          <w:szCs w:val="30"/>
        </w:rPr>
        <w:t>一、建设项目基本情况</w:t>
      </w:r>
      <w:bookmarkEnd w:id="1"/>
      <w:bookmarkEnd w:id="2"/>
    </w:p>
    <w:tbl>
      <w:tblPr>
        <w:tblStyle w:val="13"/>
        <w:tblW w:w="90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89"/>
        <w:gridCol w:w="655"/>
        <w:gridCol w:w="2850"/>
        <w:gridCol w:w="2212"/>
        <w:gridCol w:w="2639"/>
      </w:tblGrid>
      <w:tr w14:paraId="60C75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174EA505">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建设项目名称</w:t>
            </w:r>
          </w:p>
        </w:tc>
        <w:tc>
          <w:tcPr>
            <w:tcW w:w="7701" w:type="dxa"/>
            <w:gridSpan w:val="3"/>
            <w:vAlign w:val="center"/>
          </w:tcPr>
          <w:p w14:paraId="3AF8246B">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扬州德沪智能装备有限公司</w:t>
            </w:r>
            <w:r>
              <w:rPr>
                <w:rFonts w:hint="default" w:ascii="Times New Roman" w:hAnsi="Times New Roman" w:cs="Times New Roman"/>
                <w:sz w:val="24"/>
              </w:rPr>
              <w:br w:type="textWrapping"/>
            </w:r>
            <w:r>
              <w:rPr>
                <w:rFonts w:hint="default" w:ascii="Times New Roman" w:hAnsi="Times New Roman" w:cs="Times New Roman"/>
                <w:sz w:val="24"/>
              </w:rPr>
              <w:t>年产600台套钙钛矿光伏智能装备研发及制造项目</w:t>
            </w:r>
          </w:p>
        </w:tc>
      </w:tr>
      <w:tr w14:paraId="6001E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5FD4200A">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项目代码</w:t>
            </w:r>
          </w:p>
        </w:tc>
        <w:tc>
          <w:tcPr>
            <w:tcW w:w="7701" w:type="dxa"/>
            <w:gridSpan w:val="3"/>
            <w:vAlign w:val="center"/>
          </w:tcPr>
          <w:p w14:paraId="1BC1B77B">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2404-321071-89-01-577030</w:t>
            </w:r>
          </w:p>
        </w:tc>
      </w:tr>
      <w:tr w14:paraId="3816E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465F245E">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建设单位联系人</w:t>
            </w:r>
          </w:p>
        </w:tc>
        <w:tc>
          <w:tcPr>
            <w:tcW w:w="2850" w:type="dxa"/>
            <w:vAlign w:val="center"/>
          </w:tcPr>
          <w:p w14:paraId="00B4400F">
            <w:pPr>
              <w:adjustRightInd w:val="0"/>
              <w:snapToGrid w:val="0"/>
              <w:jc w:val="center"/>
              <w:rPr>
                <w:rFonts w:hint="default" w:ascii="Times New Roman" w:hAnsi="Times New Roman" w:eastAsia="宋体" w:cs="Times New Roman"/>
                <w:sz w:val="24"/>
                <w:lang w:val="en-US" w:eastAsia="zh-CN"/>
              </w:rPr>
            </w:pPr>
            <w:r>
              <w:rPr>
                <w:rFonts w:hint="eastAsia" w:cs="Times New Roman"/>
                <w:color w:val="auto"/>
                <w:sz w:val="24"/>
                <w:szCs w:val="24"/>
                <w:highlight w:val="none"/>
                <w:lang w:val="en-US" w:eastAsia="zh-CN"/>
              </w:rPr>
              <w:t>***</w:t>
            </w:r>
          </w:p>
        </w:tc>
        <w:tc>
          <w:tcPr>
            <w:tcW w:w="2212" w:type="dxa"/>
            <w:vAlign w:val="center"/>
          </w:tcPr>
          <w:p w14:paraId="0CA5FDD3">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联系方式</w:t>
            </w:r>
          </w:p>
        </w:tc>
        <w:tc>
          <w:tcPr>
            <w:tcW w:w="2639" w:type="dxa"/>
            <w:vAlign w:val="center"/>
          </w:tcPr>
          <w:p w14:paraId="2DF7D22B">
            <w:pPr>
              <w:adjustRightInd w:val="0"/>
              <w:snapToGrid w:val="0"/>
              <w:jc w:val="center"/>
              <w:rPr>
                <w:rFonts w:hint="default" w:ascii="Times New Roman" w:hAnsi="Times New Roman" w:eastAsia="宋体" w:cs="Times New Roman"/>
                <w:sz w:val="24"/>
                <w:lang w:val="en-US" w:eastAsia="zh-CN"/>
              </w:rPr>
            </w:pPr>
            <w:r>
              <w:rPr>
                <w:rFonts w:hint="eastAsia" w:cs="Times New Roman"/>
                <w:color w:val="auto"/>
                <w:sz w:val="24"/>
                <w:szCs w:val="24"/>
                <w:highlight w:val="none"/>
                <w:lang w:val="en-US" w:eastAsia="zh-CN"/>
              </w:rPr>
              <w:t>***</w:t>
            </w:r>
          </w:p>
        </w:tc>
      </w:tr>
      <w:tr w14:paraId="3628E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68E475E0">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建设地点</w:t>
            </w:r>
          </w:p>
        </w:tc>
        <w:tc>
          <w:tcPr>
            <w:tcW w:w="7701" w:type="dxa"/>
            <w:gridSpan w:val="3"/>
            <w:vAlign w:val="center"/>
          </w:tcPr>
          <w:p w14:paraId="4E013DE2">
            <w:pPr>
              <w:adjustRightInd w:val="0"/>
              <w:snapToGrid w:val="0"/>
              <w:jc w:val="center"/>
              <w:rPr>
                <w:rFonts w:hint="default" w:ascii="Times New Roman" w:hAnsi="Times New Roman" w:cs="Times New Roman"/>
                <w:sz w:val="24"/>
              </w:rPr>
            </w:pPr>
            <w:r>
              <w:rPr>
                <w:rFonts w:hint="default" w:ascii="Times New Roman" w:hAnsi="Times New Roman" w:cs="Times New Roman"/>
                <w:sz w:val="24"/>
                <w:u w:val="single"/>
              </w:rPr>
              <w:t xml:space="preserve"> 江苏 </w:t>
            </w:r>
            <w:r>
              <w:rPr>
                <w:rFonts w:hint="default" w:ascii="Times New Roman" w:hAnsi="Times New Roman" w:cs="Times New Roman"/>
                <w:sz w:val="24"/>
              </w:rPr>
              <w:t xml:space="preserve">省 </w:t>
            </w:r>
            <w:r>
              <w:rPr>
                <w:rFonts w:hint="default" w:ascii="Times New Roman" w:hAnsi="Times New Roman" w:cs="Times New Roman"/>
                <w:sz w:val="24"/>
                <w:u w:val="single"/>
              </w:rPr>
              <w:t xml:space="preserve">扬州 </w:t>
            </w:r>
            <w:r>
              <w:rPr>
                <w:rFonts w:hint="default" w:ascii="Times New Roman" w:hAnsi="Times New Roman" w:cs="Times New Roman"/>
                <w:sz w:val="24"/>
              </w:rPr>
              <w:t>市</w:t>
            </w:r>
            <w:r>
              <w:rPr>
                <w:rFonts w:hint="default" w:ascii="Times New Roman" w:hAnsi="Times New Roman" w:cs="Times New Roman"/>
                <w:sz w:val="24"/>
                <w:u w:val="single"/>
              </w:rPr>
              <w:t xml:space="preserve">扬州经济技术开发区金山路129号 </w:t>
            </w:r>
          </w:p>
        </w:tc>
      </w:tr>
      <w:tr w14:paraId="0EFC8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3677BCF7">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地理坐标</w:t>
            </w:r>
          </w:p>
        </w:tc>
        <w:tc>
          <w:tcPr>
            <w:tcW w:w="7701" w:type="dxa"/>
            <w:gridSpan w:val="3"/>
            <w:vAlign w:val="center"/>
          </w:tcPr>
          <w:p w14:paraId="2FF1307C">
            <w:pPr>
              <w:jc w:val="center"/>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u w:val="single"/>
              </w:rPr>
              <w:t xml:space="preserve"> 119 </w:t>
            </w:r>
            <w:r>
              <w:rPr>
                <w:rFonts w:hint="default" w:ascii="Times New Roman" w:hAnsi="Times New Roman" w:cs="Times New Roman"/>
                <w:sz w:val="24"/>
              </w:rPr>
              <w:t>度</w:t>
            </w:r>
            <w:r>
              <w:rPr>
                <w:rFonts w:hint="default" w:ascii="Times New Roman" w:hAnsi="Times New Roman" w:cs="Times New Roman"/>
                <w:sz w:val="24"/>
                <w:u w:val="single"/>
              </w:rPr>
              <w:t xml:space="preserve"> 2</w:t>
            </w:r>
            <w:r>
              <w:rPr>
                <w:rFonts w:hint="eastAsia" w:cs="Times New Roman"/>
                <w:sz w:val="24"/>
                <w:u w:val="single"/>
                <w:lang w:val="en-US" w:eastAsia="zh-CN"/>
              </w:rPr>
              <w:t>5</w:t>
            </w:r>
            <w:r>
              <w:rPr>
                <w:rFonts w:hint="default" w:ascii="Times New Roman" w:hAnsi="Times New Roman" w:cs="Times New Roman"/>
                <w:sz w:val="24"/>
                <w:u w:val="single"/>
              </w:rPr>
              <w:t xml:space="preserve"> </w:t>
            </w:r>
            <w:r>
              <w:rPr>
                <w:rFonts w:hint="default" w:ascii="Times New Roman" w:hAnsi="Times New Roman" w:cs="Times New Roman"/>
                <w:sz w:val="24"/>
              </w:rPr>
              <w:t>分</w:t>
            </w:r>
            <w:r>
              <w:rPr>
                <w:rFonts w:hint="default" w:ascii="Times New Roman" w:hAnsi="Times New Roman" w:cs="Times New Roman"/>
                <w:sz w:val="24"/>
                <w:u w:val="single"/>
              </w:rPr>
              <w:t xml:space="preserve"> </w:t>
            </w:r>
            <w:r>
              <w:rPr>
                <w:rFonts w:hint="eastAsia" w:cs="Times New Roman"/>
                <w:sz w:val="24"/>
                <w:u w:val="single"/>
                <w:lang w:val="en-US" w:eastAsia="zh-CN"/>
              </w:rPr>
              <w:t>12.947</w:t>
            </w:r>
            <w:r>
              <w:rPr>
                <w:rFonts w:hint="default" w:ascii="Times New Roman" w:hAnsi="Times New Roman" w:cs="Times New Roman"/>
                <w:sz w:val="24"/>
                <w:u w:val="single"/>
              </w:rPr>
              <w:t xml:space="preserve"> </w:t>
            </w:r>
            <w:r>
              <w:rPr>
                <w:rFonts w:hint="default" w:ascii="Times New Roman" w:hAnsi="Times New Roman" w:cs="Times New Roman"/>
                <w:sz w:val="24"/>
              </w:rPr>
              <w:t>秒，</w:t>
            </w:r>
            <w:r>
              <w:rPr>
                <w:rFonts w:hint="default" w:ascii="Times New Roman" w:hAnsi="Times New Roman" w:cs="Times New Roman"/>
                <w:sz w:val="24"/>
                <w:u w:val="single"/>
              </w:rPr>
              <w:t xml:space="preserve"> 32 </w:t>
            </w:r>
            <w:r>
              <w:rPr>
                <w:rFonts w:hint="default" w:ascii="Times New Roman" w:hAnsi="Times New Roman" w:cs="Times New Roman"/>
                <w:sz w:val="24"/>
              </w:rPr>
              <w:t>度</w:t>
            </w:r>
            <w:r>
              <w:rPr>
                <w:rFonts w:hint="default" w:ascii="Times New Roman" w:hAnsi="Times New Roman" w:cs="Times New Roman"/>
                <w:sz w:val="24"/>
                <w:u w:val="single"/>
              </w:rPr>
              <w:t xml:space="preserve"> 17 </w:t>
            </w:r>
            <w:r>
              <w:rPr>
                <w:rFonts w:hint="default" w:ascii="Times New Roman" w:hAnsi="Times New Roman" w:cs="Times New Roman"/>
                <w:sz w:val="24"/>
              </w:rPr>
              <w:t>分</w:t>
            </w:r>
            <w:r>
              <w:rPr>
                <w:rFonts w:hint="default" w:ascii="Times New Roman" w:hAnsi="Times New Roman" w:cs="Times New Roman"/>
                <w:sz w:val="24"/>
                <w:u w:val="single"/>
              </w:rPr>
              <w:t xml:space="preserve"> </w:t>
            </w:r>
            <w:r>
              <w:rPr>
                <w:rFonts w:hint="eastAsia" w:cs="Times New Roman"/>
                <w:sz w:val="24"/>
                <w:u w:val="single"/>
                <w:lang w:val="en-US" w:eastAsia="zh-CN"/>
              </w:rPr>
              <w:t>11.008</w:t>
            </w:r>
            <w:r>
              <w:rPr>
                <w:rFonts w:hint="default" w:ascii="Times New Roman" w:hAnsi="Times New Roman" w:cs="Times New Roman"/>
                <w:sz w:val="24"/>
                <w:u w:val="single"/>
              </w:rPr>
              <w:t xml:space="preserve"> </w:t>
            </w:r>
            <w:r>
              <w:rPr>
                <w:rFonts w:hint="default" w:ascii="Times New Roman" w:hAnsi="Times New Roman" w:cs="Times New Roman"/>
                <w:sz w:val="24"/>
              </w:rPr>
              <w:t>秒）</w:t>
            </w:r>
          </w:p>
        </w:tc>
      </w:tr>
      <w:tr w14:paraId="7AB62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58C0408D">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国民经济</w:t>
            </w:r>
          </w:p>
          <w:p w14:paraId="1C712890">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行业类别</w:t>
            </w:r>
          </w:p>
        </w:tc>
        <w:tc>
          <w:tcPr>
            <w:tcW w:w="2850" w:type="dxa"/>
            <w:vAlign w:val="center"/>
          </w:tcPr>
          <w:p w14:paraId="3B265894">
            <w:pPr>
              <w:adjustRightInd w:val="0"/>
              <w:snapToGrid w:val="0"/>
              <w:rPr>
                <w:rFonts w:hint="default" w:ascii="Times New Roman" w:hAnsi="Times New Roman" w:cs="Times New Roman"/>
                <w:sz w:val="24"/>
              </w:rPr>
            </w:pPr>
            <w:r>
              <w:rPr>
                <w:rFonts w:hint="default" w:ascii="Times New Roman" w:hAnsi="Times New Roman" w:cs="Times New Roman"/>
                <w:sz w:val="24"/>
              </w:rPr>
              <w:t>C</w:t>
            </w:r>
            <w:r>
              <w:rPr>
                <w:rFonts w:hint="eastAsia" w:cs="Times New Roman"/>
                <w:sz w:val="24"/>
                <w:lang w:val="en-US" w:eastAsia="zh-CN"/>
              </w:rPr>
              <w:t>3562</w:t>
            </w:r>
            <w:r>
              <w:rPr>
                <w:rFonts w:hint="default" w:ascii="Times New Roman" w:hAnsi="Times New Roman" w:cs="Times New Roman"/>
                <w:sz w:val="24"/>
              </w:rPr>
              <w:t xml:space="preserve"> </w:t>
            </w:r>
            <w:r>
              <w:rPr>
                <w:rFonts w:hint="default"/>
                <w:color w:val="auto"/>
                <w:sz w:val="24"/>
              </w:rPr>
              <w:t>半导体器件专用设备制造</w:t>
            </w:r>
          </w:p>
          <w:p w14:paraId="72FD2A67">
            <w:pPr>
              <w:adjustRightInd w:val="0"/>
              <w:snapToGrid w:val="0"/>
              <w:rPr>
                <w:rFonts w:hint="default" w:ascii="Times New Roman" w:hAnsi="Times New Roman" w:cs="Times New Roman"/>
                <w:sz w:val="24"/>
              </w:rPr>
            </w:pPr>
            <w:r>
              <w:rPr>
                <w:rFonts w:hint="default" w:ascii="Times New Roman" w:hAnsi="Times New Roman" w:cs="Times New Roman"/>
                <w:sz w:val="24"/>
              </w:rPr>
              <w:t>M7320 工程和技术研究与试验发展</w:t>
            </w:r>
          </w:p>
        </w:tc>
        <w:tc>
          <w:tcPr>
            <w:tcW w:w="2212" w:type="dxa"/>
            <w:vAlign w:val="center"/>
          </w:tcPr>
          <w:p w14:paraId="4FF25BB4">
            <w:pPr>
              <w:adjustRightInd w:val="0"/>
              <w:snapToGrid w:val="0"/>
              <w:jc w:val="center"/>
              <w:rPr>
                <w:rFonts w:hint="default" w:ascii="Times New Roman" w:hAnsi="Times New Roman" w:cs="Times New Roman"/>
                <w:sz w:val="24"/>
              </w:rPr>
            </w:pPr>
            <w:bookmarkStart w:id="3" w:name="_Hlk49843745"/>
            <w:r>
              <w:rPr>
                <w:rFonts w:hint="default" w:ascii="Times New Roman" w:hAnsi="Times New Roman" w:cs="Times New Roman"/>
                <w:sz w:val="24"/>
              </w:rPr>
              <w:t>建设项目</w:t>
            </w:r>
          </w:p>
          <w:p w14:paraId="024B4F0C">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行业类别</w:t>
            </w:r>
            <w:bookmarkEnd w:id="3"/>
          </w:p>
        </w:tc>
        <w:tc>
          <w:tcPr>
            <w:tcW w:w="2639" w:type="dxa"/>
            <w:vAlign w:val="center"/>
          </w:tcPr>
          <w:p w14:paraId="441B9F9A">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三十</w:t>
            </w:r>
            <w:r>
              <w:rPr>
                <w:rFonts w:hint="eastAsia" w:cs="Times New Roman"/>
                <w:sz w:val="24"/>
                <w:lang w:val="en-US" w:eastAsia="zh-CN"/>
              </w:rPr>
              <w:t>二</w:t>
            </w:r>
            <w:r>
              <w:rPr>
                <w:rFonts w:hint="default" w:ascii="Times New Roman" w:hAnsi="Times New Roman" w:cs="Times New Roman"/>
                <w:sz w:val="24"/>
              </w:rPr>
              <w:t>-7</w:t>
            </w:r>
            <w:r>
              <w:rPr>
                <w:rFonts w:hint="eastAsia" w:cs="Times New Roman"/>
                <w:sz w:val="24"/>
                <w:lang w:val="en-US" w:eastAsia="zh-CN"/>
              </w:rPr>
              <w:t>0</w:t>
            </w:r>
            <w:r>
              <w:rPr>
                <w:rFonts w:hint="default" w:ascii="Times New Roman" w:hAnsi="Times New Roman" w:cs="Times New Roman"/>
                <w:sz w:val="24"/>
              </w:rPr>
              <w:t>、电子和电工机械专用设备制造 356</w:t>
            </w:r>
          </w:p>
          <w:p w14:paraId="6BE0BBDF">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四十五-98、研究与试验 发展专业实验室、研发（试验基地）</w:t>
            </w:r>
          </w:p>
        </w:tc>
      </w:tr>
      <w:tr w14:paraId="4AED3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78A926DA">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建设性质</w:t>
            </w:r>
          </w:p>
        </w:tc>
        <w:tc>
          <w:tcPr>
            <w:tcW w:w="2850" w:type="dxa"/>
            <w:vAlign w:val="center"/>
          </w:tcPr>
          <w:p w14:paraId="480AD270">
            <w:pPr>
              <w:jc w:val="left"/>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新建（迁建）</w:t>
            </w:r>
          </w:p>
          <w:p w14:paraId="76D633CB">
            <w:pPr>
              <w:jc w:val="left"/>
              <w:rPr>
                <w:rFonts w:hint="default" w:ascii="Times New Roman" w:hAnsi="Times New Roman" w:cs="Times New Roman"/>
                <w:sz w:val="24"/>
              </w:rPr>
            </w:pPr>
            <w:r>
              <w:rPr>
                <w:rFonts w:hint="default" w:ascii="Times New Roman" w:hAnsi="Times New Roman" w:cs="Times New Roman"/>
                <w:sz w:val="24"/>
              </w:rPr>
              <w:sym w:font="Wingdings 2" w:char="00A3"/>
            </w:r>
            <w:r>
              <w:rPr>
                <w:rFonts w:hint="default" w:ascii="Times New Roman" w:hAnsi="Times New Roman" w:cs="Times New Roman"/>
                <w:sz w:val="24"/>
              </w:rPr>
              <w:t>改建</w:t>
            </w:r>
          </w:p>
          <w:p w14:paraId="2C02B3BB">
            <w:pPr>
              <w:jc w:val="left"/>
              <w:rPr>
                <w:rFonts w:hint="default" w:ascii="Times New Roman" w:hAnsi="Times New Roman" w:cs="Times New Roman"/>
                <w:sz w:val="24"/>
              </w:rPr>
            </w:pPr>
            <w:r>
              <w:rPr>
                <w:rFonts w:hint="default" w:ascii="Times New Roman" w:hAnsi="Times New Roman" w:cs="Times New Roman"/>
                <w:sz w:val="24"/>
              </w:rPr>
              <w:sym w:font="Wingdings 2" w:char="00A3"/>
            </w:r>
            <w:r>
              <w:rPr>
                <w:rFonts w:hint="default" w:ascii="Times New Roman" w:hAnsi="Times New Roman" w:cs="Times New Roman"/>
                <w:sz w:val="24"/>
              </w:rPr>
              <w:t>扩建</w:t>
            </w:r>
          </w:p>
          <w:p w14:paraId="2E1A6CE3">
            <w:pPr>
              <w:jc w:val="left"/>
              <w:rPr>
                <w:rFonts w:hint="default" w:ascii="Times New Roman" w:hAnsi="Times New Roman" w:cs="Times New Roman"/>
                <w:sz w:val="24"/>
              </w:rPr>
            </w:pPr>
            <w:r>
              <w:rPr>
                <w:rFonts w:hint="default" w:ascii="Times New Roman" w:hAnsi="Times New Roman" w:cs="Times New Roman"/>
                <w:sz w:val="24"/>
              </w:rPr>
              <w:sym w:font="Wingdings 2" w:char="00A3"/>
            </w:r>
            <w:r>
              <w:rPr>
                <w:rFonts w:hint="default" w:ascii="Times New Roman" w:hAnsi="Times New Roman" w:cs="Times New Roman"/>
                <w:sz w:val="24"/>
              </w:rPr>
              <w:t>技术改造</w:t>
            </w:r>
          </w:p>
        </w:tc>
        <w:tc>
          <w:tcPr>
            <w:tcW w:w="2212" w:type="dxa"/>
            <w:vAlign w:val="center"/>
          </w:tcPr>
          <w:p w14:paraId="7AD62AC7">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建设项目</w:t>
            </w:r>
          </w:p>
          <w:p w14:paraId="375121C6">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申报情形</w:t>
            </w:r>
          </w:p>
        </w:tc>
        <w:tc>
          <w:tcPr>
            <w:tcW w:w="2639" w:type="dxa"/>
            <w:vAlign w:val="center"/>
          </w:tcPr>
          <w:p w14:paraId="34AE2FA4">
            <w:pPr>
              <w:jc w:val="left"/>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 xml:space="preserve">首次申报项目             </w:t>
            </w:r>
          </w:p>
          <w:p w14:paraId="12FE32B5">
            <w:pPr>
              <w:jc w:val="left"/>
              <w:rPr>
                <w:rFonts w:hint="default" w:ascii="Times New Roman" w:hAnsi="Times New Roman" w:cs="Times New Roman"/>
                <w:sz w:val="24"/>
              </w:rPr>
            </w:pPr>
            <w:r>
              <w:rPr>
                <w:rFonts w:hint="default" w:ascii="Times New Roman" w:hAnsi="Times New Roman" w:cs="Times New Roman"/>
                <w:sz w:val="24"/>
              </w:rPr>
              <w:t>□不予批准后再次申报项目</w:t>
            </w:r>
          </w:p>
          <w:p w14:paraId="6AAC78C1">
            <w:pPr>
              <w:jc w:val="left"/>
              <w:rPr>
                <w:rFonts w:hint="default" w:ascii="Times New Roman" w:hAnsi="Times New Roman" w:cs="Times New Roman"/>
                <w:sz w:val="24"/>
              </w:rPr>
            </w:pPr>
            <w:r>
              <w:rPr>
                <w:rFonts w:hint="default" w:ascii="Times New Roman" w:hAnsi="Times New Roman" w:cs="Times New Roman"/>
                <w:sz w:val="24"/>
              </w:rPr>
              <w:sym w:font="Wingdings 2" w:char="00A3"/>
            </w:r>
            <w:r>
              <w:rPr>
                <w:rFonts w:hint="default" w:ascii="Times New Roman" w:hAnsi="Times New Roman" w:cs="Times New Roman"/>
                <w:sz w:val="24"/>
              </w:rPr>
              <w:t xml:space="preserve">超五年重新审核项目     </w:t>
            </w:r>
          </w:p>
          <w:p w14:paraId="05C78B7D">
            <w:pPr>
              <w:jc w:val="left"/>
              <w:rPr>
                <w:rFonts w:hint="default" w:ascii="Times New Roman" w:hAnsi="Times New Roman" w:cs="Times New Roman"/>
                <w:sz w:val="24"/>
              </w:rPr>
            </w:pPr>
            <w:r>
              <w:rPr>
                <w:rFonts w:hint="default" w:ascii="Times New Roman" w:hAnsi="Times New Roman" w:cs="Times New Roman"/>
                <w:sz w:val="24"/>
              </w:rPr>
              <w:t>□重大变动重新报批项目</w:t>
            </w:r>
          </w:p>
        </w:tc>
      </w:tr>
      <w:tr w14:paraId="7C19C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294EBA95">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项目审批（核准/</w:t>
            </w:r>
          </w:p>
          <w:p w14:paraId="4C8950D1">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备案）部门（选填）</w:t>
            </w:r>
          </w:p>
        </w:tc>
        <w:tc>
          <w:tcPr>
            <w:tcW w:w="2850" w:type="dxa"/>
            <w:vAlign w:val="center"/>
          </w:tcPr>
          <w:p w14:paraId="72A92472">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扬州</w:t>
            </w:r>
            <w:r>
              <w:rPr>
                <w:rFonts w:hint="eastAsia" w:cs="Times New Roman"/>
                <w:sz w:val="24"/>
                <w:lang w:val="en-US" w:eastAsia="zh-CN"/>
              </w:rPr>
              <w:t>经济技术开发区</w:t>
            </w:r>
            <w:r>
              <w:rPr>
                <w:rFonts w:hint="default" w:ascii="Times New Roman" w:hAnsi="Times New Roman" w:cs="Times New Roman"/>
                <w:sz w:val="24"/>
              </w:rPr>
              <w:t>管</w:t>
            </w:r>
            <w:r>
              <w:rPr>
                <w:rFonts w:hint="eastAsia" w:cs="Times New Roman"/>
                <w:sz w:val="24"/>
                <w:lang w:val="en-US" w:eastAsia="zh-CN"/>
              </w:rPr>
              <w:t>理</w:t>
            </w:r>
            <w:r>
              <w:rPr>
                <w:rFonts w:hint="default" w:ascii="Times New Roman" w:hAnsi="Times New Roman" w:cs="Times New Roman"/>
                <w:sz w:val="24"/>
              </w:rPr>
              <w:t>委</w:t>
            </w:r>
            <w:r>
              <w:rPr>
                <w:rFonts w:hint="eastAsia" w:cs="Times New Roman"/>
                <w:sz w:val="24"/>
                <w:lang w:val="en-US" w:eastAsia="zh-CN"/>
              </w:rPr>
              <w:t>员</w:t>
            </w:r>
            <w:r>
              <w:rPr>
                <w:rFonts w:hint="default" w:ascii="Times New Roman" w:hAnsi="Times New Roman" w:cs="Times New Roman"/>
                <w:sz w:val="24"/>
              </w:rPr>
              <w:t>会</w:t>
            </w:r>
          </w:p>
        </w:tc>
        <w:tc>
          <w:tcPr>
            <w:tcW w:w="2212" w:type="dxa"/>
            <w:vAlign w:val="center"/>
          </w:tcPr>
          <w:p w14:paraId="7DD10093">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项目审批（核准/</w:t>
            </w:r>
          </w:p>
          <w:p w14:paraId="0AA4D915">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备案）文号（选填）</w:t>
            </w:r>
          </w:p>
        </w:tc>
        <w:tc>
          <w:tcPr>
            <w:tcW w:w="2639" w:type="dxa"/>
            <w:vAlign w:val="center"/>
          </w:tcPr>
          <w:p w14:paraId="4176FFE9">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扬开管审备(2024)218号</w:t>
            </w:r>
          </w:p>
        </w:tc>
      </w:tr>
      <w:tr w14:paraId="261B6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2B6B9921">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总投资（万元）</w:t>
            </w:r>
          </w:p>
        </w:tc>
        <w:tc>
          <w:tcPr>
            <w:tcW w:w="2850" w:type="dxa"/>
            <w:vAlign w:val="center"/>
          </w:tcPr>
          <w:p w14:paraId="4BE4FF5A">
            <w:pPr>
              <w:adjustRightInd w:val="0"/>
              <w:snapToGrid w:val="0"/>
              <w:jc w:val="center"/>
              <w:rPr>
                <w:rFonts w:hint="default" w:ascii="Times New Roman" w:hAnsi="Times New Roman" w:cs="Times New Roman"/>
                <w:sz w:val="24"/>
              </w:rPr>
            </w:pPr>
            <w:r>
              <w:rPr>
                <w:rFonts w:hint="eastAsia" w:cs="Times New Roman"/>
                <w:color w:val="auto"/>
                <w:sz w:val="24"/>
                <w:szCs w:val="24"/>
                <w:highlight w:val="none"/>
                <w:lang w:val="en-US" w:eastAsia="zh-CN"/>
              </w:rPr>
              <w:t>***</w:t>
            </w:r>
          </w:p>
        </w:tc>
        <w:tc>
          <w:tcPr>
            <w:tcW w:w="2212" w:type="dxa"/>
            <w:tcMar>
              <w:top w:w="16" w:type="dxa"/>
              <w:left w:w="16" w:type="dxa"/>
              <w:right w:w="16" w:type="dxa"/>
            </w:tcMar>
            <w:vAlign w:val="center"/>
          </w:tcPr>
          <w:p w14:paraId="0B4BEFFF">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环保投资（万元）</w:t>
            </w:r>
          </w:p>
        </w:tc>
        <w:tc>
          <w:tcPr>
            <w:tcW w:w="2639" w:type="dxa"/>
            <w:vAlign w:val="center"/>
          </w:tcPr>
          <w:p w14:paraId="70D608F1">
            <w:pPr>
              <w:adjustRightInd w:val="0"/>
              <w:snapToGrid w:val="0"/>
              <w:jc w:val="center"/>
              <w:rPr>
                <w:rFonts w:hint="default" w:ascii="Times New Roman" w:hAnsi="Times New Roman" w:cs="Times New Roman"/>
                <w:sz w:val="24"/>
              </w:rPr>
            </w:pPr>
            <w:r>
              <w:rPr>
                <w:rFonts w:hint="eastAsia" w:cs="Times New Roman"/>
                <w:color w:val="auto"/>
                <w:sz w:val="24"/>
                <w:szCs w:val="24"/>
                <w:highlight w:val="none"/>
                <w:lang w:val="en-US" w:eastAsia="zh-CN"/>
              </w:rPr>
              <w:t>***</w:t>
            </w:r>
          </w:p>
        </w:tc>
      </w:tr>
      <w:tr w14:paraId="73824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77EC0F32">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环保投资占比（%）</w:t>
            </w:r>
          </w:p>
        </w:tc>
        <w:tc>
          <w:tcPr>
            <w:tcW w:w="2850" w:type="dxa"/>
            <w:vAlign w:val="center"/>
          </w:tcPr>
          <w:p w14:paraId="4E346201">
            <w:pPr>
              <w:adjustRightInd w:val="0"/>
              <w:snapToGrid w:val="0"/>
              <w:jc w:val="center"/>
              <w:rPr>
                <w:rFonts w:hint="default" w:ascii="Times New Roman" w:hAnsi="Times New Roman" w:cs="Times New Roman"/>
                <w:sz w:val="24"/>
              </w:rPr>
            </w:pPr>
            <w:r>
              <w:rPr>
                <w:rFonts w:hint="eastAsia" w:cs="Times New Roman"/>
                <w:color w:val="auto"/>
                <w:sz w:val="24"/>
                <w:szCs w:val="24"/>
                <w:highlight w:val="none"/>
                <w:lang w:val="en-US" w:eastAsia="zh-CN"/>
              </w:rPr>
              <w:t>***</w:t>
            </w:r>
          </w:p>
        </w:tc>
        <w:tc>
          <w:tcPr>
            <w:tcW w:w="2212" w:type="dxa"/>
            <w:tcMar>
              <w:top w:w="16" w:type="dxa"/>
              <w:left w:w="16" w:type="dxa"/>
              <w:right w:w="16" w:type="dxa"/>
            </w:tcMar>
            <w:vAlign w:val="center"/>
          </w:tcPr>
          <w:p w14:paraId="6103403C">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施工工期</w:t>
            </w:r>
          </w:p>
        </w:tc>
        <w:tc>
          <w:tcPr>
            <w:tcW w:w="2639" w:type="dxa"/>
            <w:vAlign w:val="center"/>
          </w:tcPr>
          <w:p w14:paraId="30609E9E">
            <w:pPr>
              <w:adjustRightInd w:val="0"/>
              <w:snapToGrid w:val="0"/>
              <w:jc w:val="center"/>
              <w:rPr>
                <w:rFonts w:hint="default" w:ascii="Times New Roman" w:hAnsi="Times New Roman" w:cs="Times New Roman"/>
                <w:sz w:val="24"/>
              </w:rPr>
            </w:pPr>
            <w:r>
              <w:rPr>
                <w:rFonts w:hint="default" w:ascii="Times New Roman" w:hAnsi="Times New Roman" w:cs="Times New Roman"/>
                <w:sz w:val="24"/>
                <w:lang w:val="en-US" w:eastAsia="zh-CN"/>
              </w:rPr>
              <w:t>6</w:t>
            </w:r>
            <w:r>
              <w:rPr>
                <w:rFonts w:hint="default" w:ascii="Times New Roman" w:hAnsi="Times New Roman" w:cs="Times New Roman"/>
                <w:sz w:val="24"/>
              </w:rPr>
              <w:t>个月</w:t>
            </w:r>
          </w:p>
        </w:tc>
      </w:tr>
      <w:tr w14:paraId="13A7A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44" w:type="dxa"/>
            <w:gridSpan w:val="2"/>
            <w:tcMar>
              <w:top w:w="16" w:type="dxa"/>
              <w:left w:w="16" w:type="dxa"/>
              <w:right w:w="16" w:type="dxa"/>
            </w:tcMar>
            <w:vAlign w:val="center"/>
          </w:tcPr>
          <w:p w14:paraId="45C34C64">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是否开工建设</w:t>
            </w:r>
          </w:p>
        </w:tc>
        <w:tc>
          <w:tcPr>
            <w:tcW w:w="2850" w:type="dxa"/>
            <w:vAlign w:val="center"/>
          </w:tcPr>
          <w:p w14:paraId="05E3D029">
            <w:pPr>
              <w:adjustRightInd w:val="0"/>
              <w:snapToGrid w:val="0"/>
              <w:rPr>
                <w:rFonts w:hint="default" w:ascii="Times New Roman" w:hAnsi="Times New Roman" w:cs="Times New Roman"/>
                <w:sz w:val="24"/>
              </w:rPr>
            </w:pPr>
            <w:r>
              <w:rPr>
                <w:rFonts w:hint="default" w:ascii="Times New Roman" w:hAnsi="Times New Roman" w:cs="Times New Roman"/>
                <w:sz w:val="24"/>
              </w:rPr>
              <w:sym w:font="Wingdings 2" w:char="0052"/>
            </w:r>
            <w:r>
              <w:rPr>
                <w:rFonts w:hint="default" w:ascii="Times New Roman" w:hAnsi="Times New Roman" w:cs="Times New Roman"/>
                <w:sz w:val="24"/>
              </w:rPr>
              <w:t>否</w:t>
            </w:r>
          </w:p>
          <w:p w14:paraId="0A49A1C0">
            <w:pPr>
              <w:adjustRightInd w:val="0"/>
              <w:snapToGrid w:val="0"/>
              <w:rPr>
                <w:rFonts w:hint="default" w:ascii="Times New Roman" w:hAnsi="Times New Roman" w:cs="Times New Roman"/>
                <w:sz w:val="24"/>
              </w:rPr>
            </w:pPr>
            <w:r>
              <w:rPr>
                <w:rFonts w:hint="default" w:ascii="Times New Roman" w:hAnsi="Times New Roman" w:cs="Times New Roman"/>
                <w:sz w:val="24"/>
              </w:rPr>
              <w:sym w:font="Wingdings 2" w:char="00A3"/>
            </w:r>
            <w:r>
              <w:rPr>
                <w:rFonts w:hint="default" w:ascii="Times New Roman" w:hAnsi="Times New Roman" w:cs="Times New Roman"/>
                <w:sz w:val="24"/>
              </w:rPr>
              <w:t>是：</w:t>
            </w:r>
            <w:r>
              <w:rPr>
                <w:rFonts w:hint="default" w:ascii="Times New Roman" w:hAnsi="Times New Roman" w:cs="Times New Roman"/>
                <w:sz w:val="24"/>
                <w:u w:val="single"/>
              </w:rPr>
              <w:t xml:space="preserve">             </w:t>
            </w:r>
          </w:p>
        </w:tc>
        <w:tc>
          <w:tcPr>
            <w:tcW w:w="2212" w:type="dxa"/>
            <w:tcMar>
              <w:top w:w="16" w:type="dxa"/>
              <w:left w:w="16" w:type="dxa"/>
              <w:right w:w="16" w:type="dxa"/>
            </w:tcMar>
            <w:vAlign w:val="center"/>
          </w:tcPr>
          <w:p w14:paraId="4A66E198">
            <w:pPr>
              <w:adjustRightInd w:val="0"/>
              <w:snapToGrid w:val="0"/>
              <w:jc w:val="center"/>
              <w:rPr>
                <w:rFonts w:hint="default" w:ascii="Times New Roman" w:hAnsi="Times New Roman" w:cs="Times New Roman"/>
                <w:spacing w:val="-6"/>
                <w:sz w:val="24"/>
              </w:rPr>
            </w:pPr>
            <w:r>
              <w:rPr>
                <w:rFonts w:hint="default" w:ascii="Times New Roman" w:hAnsi="Times New Roman" w:cs="Times New Roman"/>
                <w:spacing w:val="-6"/>
                <w:sz w:val="24"/>
              </w:rPr>
              <w:t>用地（用海）</w:t>
            </w:r>
          </w:p>
          <w:p w14:paraId="4C1BAD49">
            <w:pPr>
              <w:adjustRightInd w:val="0"/>
              <w:snapToGrid w:val="0"/>
              <w:jc w:val="center"/>
              <w:rPr>
                <w:rFonts w:hint="default" w:ascii="Times New Roman" w:hAnsi="Times New Roman" w:cs="Times New Roman"/>
                <w:sz w:val="24"/>
              </w:rPr>
            </w:pPr>
            <w:r>
              <w:rPr>
                <w:rFonts w:hint="default" w:ascii="Times New Roman" w:hAnsi="Times New Roman" w:cs="Times New Roman"/>
                <w:spacing w:val="-6"/>
                <w:sz w:val="24"/>
              </w:rPr>
              <w:t>面积（m</w:t>
            </w:r>
            <w:r>
              <w:rPr>
                <w:rFonts w:hint="default" w:ascii="Times New Roman" w:hAnsi="Times New Roman" w:cs="Times New Roman"/>
                <w:spacing w:val="-6"/>
                <w:sz w:val="24"/>
                <w:vertAlign w:val="superscript"/>
              </w:rPr>
              <w:t>2</w:t>
            </w:r>
            <w:r>
              <w:rPr>
                <w:rFonts w:hint="default" w:ascii="Times New Roman" w:hAnsi="Times New Roman" w:cs="Times New Roman"/>
                <w:spacing w:val="-6"/>
                <w:sz w:val="24"/>
              </w:rPr>
              <w:t>）</w:t>
            </w:r>
          </w:p>
        </w:tc>
        <w:tc>
          <w:tcPr>
            <w:tcW w:w="2639" w:type="dxa"/>
            <w:vAlign w:val="center"/>
          </w:tcPr>
          <w:p w14:paraId="1924CBCA">
            <w:pPr>
              <w:adjustRightInd w:val="0"/>
              <w:snapToGrid w:val="0"/>
              <w:jc w:val="center"/>
              <w:rPr>
                <w:rFonts w:hint="default" w:ascii="Times New Roman" w:hAnsi="Times New Roman" w:cs="Times New Roman"/>
                <w:sz w:val="24"/>
              </w:rPr>
            </w:pPr>
            <w:r>
              <w:rPr>
                <w:rFonts w:hint="default" w:ascii="Times New Roman" w:hAnsi="Times New Roman" w:cs="Times New Roman"/>
                <w:sz w:val="24"/>
                <w:lang w:val="en-US" w:eastAsia="zh-CN"/>
              </w:rPr>
              <w:t>161976.07</w:t>
            </w:r>
          </w:p>
        </w:tc>
      </w:tr>
      <w:tr w14:paraId="0C9C6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gridSpan w:val="2"/>
            <w:vAlign w:val="center"/>
          </w:tcPr>
          <w:p w14:paraId="055250E0">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专项评价设置情况</w:t>
            </w:r>
          </w:p>
        </w:tc>
        <w:tc>
          <w:tcPr>
            <w:tcW w:w="7701" w:type="dxa"/>
            <w:gridSpan w:val="3"/>
            <w:vAlign w:val="center"/>
          </w:tcPr>
          <w:p w14:paraId="377C6419">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w:t>
            </w:r>
          </w:p>
        </w:tc>
      </w:tr>
      <w:tr w14:paraId="5A183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gridSpan w:val="2"/>
            <w:vAlign w:val="center"/>
          </w:tcPr>
          <w:p w14:paraId="6284DCF7">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sz w:val="24"/>
              </w:rPr>
              <w:t>规划情况</w:t>
            </w:r>
          </w:p>
        </w:tc>
        <w:tc>
          <w:tcPr>
            <w:tcW w:w="7701" w:type="dxa"/>
            <w:gridSpan w:val="3"/>
            <w:vAlign w:val="center"/>
          </w:tcPr>
          <w:p w14:paraId="038F35E4">
            <w:pPr>
              <w:autoSpaceDE w:val="0"/>
              <w:autoSpaceDN w:val="0"/>
              <w:adjustRightInd w:val="0"/>
              <w:snapToGrid w:val="0"/>
              <w:spacing w:line="360" w:lineRule="auto"/>
              <w:rPr>
                <w:rFonts w:hint="default" w:ascii="Times New Roman" w:hAnsi="Times New Roman" w:cs="Times New Roman"/>
                <w:kern w:val="0"/>
                <w:sz w:val="24"/>
              </w:rPr>
            </w:pPr>
            <w:r>
              <w:rPr>
                <w:rFonts w:hint="default" w:ascii="Times New Roman" w:hAnsi="Times New Roman" w:cs="Times New Roman"/>
                <w:kern w:val="0"/>
                <w:sz w:val="24"/>
              </w:rPr>
              <w:t>规划名称：扬州经济技术开发区发展规划（2016-2020）</w:t>
            </w:r>
          </w:p>
          <w:p w14:paraId="53CA3B2D">
            <w:pPr>
              <w:autoSpaceDE w:val="0"/>
              <w:autoSpaceDN w:val="0"/>
              <w:adjustRightInd w:val="0"/>
              <w:snapToGrid w:val="0"/>
              <w:spacing w:line="360" w:lineRule="auto"/>
              <w:rPr>
                <w:rFonts w:hint="default" w:ascii="Times New Roman" w:hAnsi="Times New Roman" w:cs="Times New Roman"/>
                <w:kern w:val="0"/>
                <w:sz w:val="24"/>
              </w:rPr>
            </w:pPr>
            <w:r>
              <w:rPr>
                <w:rFonts w:hint="default" w:ascii="Times New Roman" w:hAnsi="Times New Roman" w:cs="Times New Roman"/>
                <w:kern w:val="0"/>
                <w:sz w:val="24"/>
              </w:rPr>
              <w:t>审批机关：/</w:t>
            </w:r>
          </w:p>
          <w:p w14:paraId="2C1E3085">
            <w:pPr>
              <w:autoSpaceDE w:val="0"/>
              <w:autoSpaceDN w:val="0"/>
              <w:adjustRightInd w:val="0"/>
              <w:snapToGrid w:val="0"/>
              <w:spacing w:line="360" w:lineRule="auto"/>
              <w:rPr>
                <w:rFonts w:hint="default" w:ascii="Times New Roman" w:hAnsi="Times New Roman" w:cs="Times New Roman"/>
                <w:kern w:val="0"/>
                <w:sz w:val="24"/>
              </w:rPr>
            </w:pPr>
            <w:r>
              <w:rPr>
                <w:rFonts w:hint="default" w:ascii="Times New Roman" w:hAnsi="Times New Roman" w:cs="Times New Roman"/>
                <w:kern w:val="0"/>
                <w:sz w:val="24"/>
              </w:rPr>
              <w:t>审批文号：/</w:t>
            </w:r>
          </w:p>
        </w:tc>
      </w:tr>
      <w:tr w14:paraId="2D211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4" w:type="dxa"/>
            <w:gridSpan w:val="2"/>
            <w:vAlign w:val="center"/>
          </w:tcPr>
          <w:p w14:paraId="30F3F715">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规划环境影响</w:t>
            </w:r>
          </w:p>
          <w:p w14:paraId="0092EE79">
            <w:pPr>
              <w:adjustRightInd w:val="0"/>
              <w:snapToGrid w:val="0"/>
              <w:jc w:val="center"/>
              <w:rPr>
                <w:rFonts w:hint="default" w:ascii="Times New Roman" w:hAnsi="Times New Roman" w:cs="Times New Roman"/>
                <w:kern w:val="0"/>
                <w:sz w:val="24"/>
              </w:rPr>
            </w:pPr>
            <w:r>
              <w:rPr>
                <w:rFonts w:hint="default" w:ascii="Times New Roman" w:hAnsi="Times New Roman" w:cs="Times New Roman"/>
                <w:sz w:val="24"/>
              </w:rPr>
              <w:t>评价情况</w:t>
            </w:r>
          </w:p>
        </w:tc>
        <w:tc>
          <w:tcPr>
            <w:tcW w:w="7701" w:type="dxa"/>
            <w:gridSpan w:val="3"/>
            <w:vAlign w:val="center"/>
          </w:tcPr>
          <w:p w14:paraId="04B56A15">
            <w:pPr>
              <w:autoSpaceDE w:val="0"/>
              <w:autoSpaceDN w:val="0"/>
              <w:adjustRightInd w:val="0"/>
              <w:snapToGrid w:val="0"/>
              <w:spacing w:line="360" w:lineRule="auto"/>
              <w:rPr>
                <w:rFonts w:hint="default" w:ascii="Times New Roman" w:hAnsi="Times New Roman" w:cs="Times New Roman"/>
                <w:kern w:val="0"/>
                <w:sz w:val="24"/>
              </w:rPr>
            </w:pPr>
            <w:r>
              <w:rPr>
                <w:rFonts w:hint="default" w:ascii="Times New Roman" w:hAnsi="Times New Roman" w:cs="Times New Roman"/>
                <w:kern w:val="0"/>
                <w:sz w:val="24"/>
              </w:rPr>
              <w:t>名    称：《扬州经济技术开发区发展规划环境影响报告书》</w:t>
            </w:r>
          </w:p>
          <w:p w14:paraId="34C82584">
            <w:pPr>
              <w:autoSpaceDE w:val="0"/>
              <w:autoSpaceDN w:val="0"/>
              <w:adjustRightInd w:val="0"/>
              <w:snapToGrid w:val="0"/>
              <w:spacing w:line="360" w:lineRule="auto"/>
              <w:rPr>
                <w:rFonts w:hint="default" w:ascii="Times New Roman" w:hAnsi="Times New Roman" w:cs="Times New Roman"/>
                <w:kern w:val="0"/>
                <w:sz w:val="24"/>
              </w:rPr>
            </w:pPr>
            <w:r>
              <w:rPr>
                <w:rFonts w:hint="eastAsia" w:cs="Times New Roman"/>
                <w:kern w:val="0"/>
                <w:sz w:val="24"/>
                <w:lang w:val="en-US" w:eastAsia="zh-CN"/>
              </w:rPr>
              <w:t>召集</w:t>
            </w:r>
            <w:r>
              <w:rPr>
                <w:rFonts w:hint="default" w:ascii="Times New Roman" w:hAnsi="Times New Roman" w:cs="Times New Roman"/>
                <w:kern w:val="0"/>
                <w:sz w:val="24"/>
              </w:rPr>
              <w:t>审查机关：中华人民共和国生态环境部</w:t>
            </w:r>
          </w:p>
          <w:p w14:paraId="563C2A4B">
            <w:pPr>
              <w:autoSpaceDE w:val="0"/>
              <w:autoSpaceDN w:val="0"/>
              <w:adjustRightInd w:val="0"/>
              <w:snapToGrid w:val="0"/>
              <w:spacing w:line="360" w:lineRule="auto"/>
              <w:rPr>
                <w:rFonts w:hint="default" w:ascii="Times New Roman" w:hAnsi="Times New Roman" w:cs="Times New Roman"/>
                <w:kern w:val="0"/>
                <w:sz w:val="24"/>
              </w:rPr>
            </w:pPr>
            <w:r>
              <w:rPr>
                <w:rFonts w:hint="default" w:ascii="Times New Roman" w:hAnsi="Times New Roman" w:cs="Times New Roman"/>
                <w:kern w:val="0"/>
                <w:sz w:val="24"/>
              </w:rPr>
              <w:t>审查文件名称及文号：《扬州经济技术开发区发展规划环境影响报告书》（环审[2019]148号）</w:t>
            </w:r>
          </w:p>
        </w:tc>
      </w:tr>
      <w:tr w14:paraId="35216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9" w:type="dxa"/>
            <w:vAlign w:val="center"/>
          </w:tcPr>
          <w:p w14:paraId="54D9D377">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规划及规划环境影响评价符合性分析</w:t>
            </w:r>
          </w:p>
        </w:tc>
        <w:tc>
          <w:tcPr>
            <w:tcW w:w="8356" w:type="dxa"/>
            <w:gridSpan w:val="4"/>
            <w:vAlign w:val="center"/>
          </w:tcPr>
          <w:p w14:paraId="508D227E">
            <w:pPr>
              <w:spacing w:line="360" w:lineRule="auto"/>
              <w:ind w:firstLine="482" w:firstLineChars="200"/>
              <w:jc w:val="left"/>
              <w:rPr>
                <w:rFonts w:hint="default" w:ascii="Times New Roman" w:hAnsi="Times New Roman" w:cs="Times New Roman"/>
                <w:b/>
                <w:bCs/>
                <w:sz w:val="24"/>
              </w:rPr>
            </w:pPr>
            <w:r>
              <w:rPr>
                <w:rFonts w:hint="default" w:ascii="Times New Roman" w:hAnsi="Times New Roman" w:cs="Times New Roman"/>
                <w:b/>
                <w:bCs/>
                <w:sz w:val="24"/>
              </w:rPr>
              <w:t>1、与扬州经济技术开发区规划相符性分析</w:t>
            </w:r>
          </w:p>
          <w:p w14:paraId="4A9E3564">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（1）用地规划相符性</w:t>
            </w:r>
          </w:p>
          <w:p w14:paraId="1B643E2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本项目建设地点位于</w:t>
            </w:r>
            <w:r>
              <w:rPr>
                <w:rFonts w:hint="eastAsia" w:eastAsia="宋体" w:cs="Times New Roman"/>
                <w:color w:val="auto"/>
                <w:sz w:val="24"/>
                <w:lang w:val="en-US" w:eastAsia="zh-CN"/>
              </w:rPr>
              <w:t>金山路129号</w:t>
            </w:r>
            <w:r>
              <w:rPr>
                <w:rFonts w:hint="default" w:ascii="Times New Roman" w:hAnsi="Times New Roman" w:eastAsia="宋体" w:cs="Times New Roman"/>
                <w:color w:val="auto"/>
                <w:sz w:val="24"/>
              </w:rPr>
              <w:t>，属于扬州经济技术开发区范围内</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本项目在</w:t>
            </w:r>
            <w:r>
              <w:rPr>
                <w:rFonts w:hint="eastAsia" w:eastAsia="宋体" w:cs="Times New Roman"/>
                <w:color w:val="auto"/>
                <w:sz w:val="24"/>
                <w:lang w:val="en-US" w:eastAsia="zh-CN"/>
              </w:rPr>
              <w:t>租赁</w:t>
            </w:r>
            <w:r>
              <w:rPr>
                <w:rFonts w:hint="eastAsia" w:ascii="Times New Roman" w:hAnsi="Times New Roman" w:eastAsia="宋体" w:cs="Times New Roman"/>
                <w:color w:val="auto"/>
                <w:sz w:val="24"/>
                <w:lang w:val="en-US" w:eastAsia="zh-CN"/>
              </w:rPr>
              <w:t>的</w:t>
            </w:r>
            <w:r>
              <w:rPr>
                <w:rFonts w:hint="eastAsia" w:eastAsia="宋体" w:cs="Times New Roman"/>
                <w:color w:val="auto"/>
                <w:sz w:val="24"/>
                <w:lang w:val="en-US" w:eastAsia="zh-CN"/>
              </w:rPr>
              <w:t>厂区</w:t>
            </w:r>
            <w:r>
              <w:rPr>
                <w:rFonts w:hint="default" w:ascii="Times New Roman" w:hAnsi="Times New Roman" w:eastAsia="宋体" w:cs="Times New Roman"/>
                <w:color w:val="auto"/>
                <w:sz w:val="24"/>
              </w:rPr>
              <w:t>内</w:t>
            </w:r>
            <w:r>
              <w:rPr>
                <w:rFonts w:hint="eastAsia" w:eastAsia="宋体" w:cs="Times New Roman"/>
                <w:color w:val="auto"/>
                <w:sz w:val="24"/>
                <w:lang w:val="en-US" w:eastAsia="zh-CN"/>
              </w:rPr>
              <w:t>运营</w:t>
            </w:r>
            <w:r>
              <w:rPr>
                <w:rFonts w:hint="default" w:ascii="Times New Roman" w:hAnsi="Times New Roman" w:eastAsia="宋体" w:cs="Times New Roman"/>
                <w:color w:val="auto"/>
                <w:sz w:val="24"/>
              </w:rPr>
              <w:t>，根据建设单位提供的</w:t>
            </w:r>
            <w:r>
              <w:rPr>
                <w:rFonts w:hint="eastAsia" w:cs="Times New Roman"/>
                <w:color w:val="auto"/>
                <w:sz w:val="24"/>
                <w:lang w:val="en-US" w:eastAsia="zh-CN"/>
              </w:rPr>
              <w:t>不动产权</w:t>
            </w:r>
            <w:r>
              <w:rPr>
                <w:rFonts w:hint="eastAsia" w:eastAsia="宋体" w:cs="Times New Roman"/>
                <w:color w:val="auto"/>
                <w:sz w:val="24"/>
                <w:lang w:val="en-US" w:eastAsia="zh-CN"/>
              </w:rPr>
              <w:t>证明</w:t>
            </w:r>
            <w:r>
              <w:rPr>
                <w:rFonts w:hint="eastAsia" w:cs="Times New Roman"/>
                <w:color w:val="auto"/>
                <w:sz w:val="24"/>
                <w:lang w:val="en-US" w:eastAsia="zh-CN"/>
              </w:rPr>
              <w:t>（附件6）</w:t>
            </w:r>
            <w:r>
              <w:rPr>
                <w:rFonts w:hint="default" w:ascii="Times New Roman" w:hAnsi="Times New Roman" w:eastAsia="宋体" w:cs="Times New Roman"/>
                <w:color w:val="auto"/>
                <w:sz w:val="24"/>
              </w:rPr>
              <w:t>，项目用地性质为工业用地，对照扬州经济开发区发展规划，本项目所在地块用地性质为工业用地，符合用地性质要求。</w:t>
            </w:r>
          </w:p>
          <w:p w14:paraId="1871412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（2）产业定位相符性</w:t>
            </w:r>
          </w:p>
          <w:p w14:paraId="4E83399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扬州经济技术开发区以绿色光电、汽车及零部件、高端轻工、军民融合和高端装备制造为主导产业，大力发展现代服务业，积极发展现代农业，限制化工和电镀企业准入。本项目</w:t>
            </w:r>
            <w:r>
              <w:rPr>
                <w:rFonts w:hint="eastAsia" w:ascii="Times New Roman" w:hAnsi="Times New Roman" w:eastAsia="宋体" w:cs="Times New Roman"/>
                <w:color w:val="auto"/>
                <w:sz w:val="24"/>
                <w:lang w:val="en-US" w:eastAsia="zh-CN"/>
              </w:rPr>
              <w:t>为</w:t>
            </w:r>
            <w:r>
              <w:rPr>
                <w:rFonts w:hint="eastAsia" w:cs="Times New Roman"/>
                <w:sz w:val="24"/>
                <w:lang w:val="en-US" w:eastAsia="zh-CN"/>
              </w:rPr>
              <w:t>新建光伏设备研发和制造项目</w:t>
            </w:r>
            <w:r>
              <w:rPr>
                <w:rFonts w:hint="eastAsia" w:ascii="Times New Roman" w:hAnsi="Times New Roman" w:eastAsia="宋体" w:cs="Times New Roman"/>
                <w:color w:val="auto"/>
                <w:sz w:val="24"/>
                <w:lang w:val="en-US" w:eastAsia="zh-CN"/>
              </w:rPr>
              <w:t>，属于</w:t>
            </w:r>
            <w:r>
              <w:rPr>
                <w:rFonts w:hint="eastAsia" w:eastAsia="宋体" w:cs="Times New Roman"/>
                <w:color w:val="auto"/>
                <w:sz w:val="24"/>
                <w:lang w:val="en-US" w:eastAsia="zh-CN"/>
              </w:rPr>
              <w:t>绿色光电</w:t>
            </w:r>
            <w:r>
              <w:rPr>
                <w:rFonts w:hint="eastAsia" w:ascii="Times New Roman" w:hAnsi="Times New Roman" w:eastAsia="宋体" w:cs="Times New Roman"/>
                <w:color w:val="auto"/>
                <w:sz w:val="24"/>
                <w:lang w:val="en-US" w:eastAsia="zh-CN"/>
              </w:rPr>
              <w:t>类</w:t>
            </w:r>
            <w:r>
              <w:rPr>
                <w:rFonts w:hint="eastAsia" w:cs="Times New Roman"/>
                <w:color w:val="auto"/>
                <w:sz w:val="24"/>
                <w:lang w:val="en-US" w:eastAsia="zh-CN"/>
              </w:rPr>
              <w:t>相关产业</w:t>
            </w:r>
            <w:r>
              <w:rPr>
                <w:rFonts w:hint="default" w:ascii="Times New Roman" w:hAnsi="Times New Roman" w:eastAsia="宋体" w:cs="Times New Roman"/>
                <w:color w:val="auto"/>
                <w:sz w:val="24"/>
              </w:rPr>
              <w:t>，不属于限制和禁止进入的项目</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符合园区产业定位。</w:t>
            </w:r>
          </w:p>
          <w:p w14:paraId="199855F7">
            <w:pPr>
              <w:spacing w:line="360" w:lineRule="auto"/>
              <w:ind w:firstLine="480" w:firstLineChars="200"/>
              <w:jc w:val="left"/>
              <w:rPr>
                <w:rFonts w:hint="default" w:ascii="Times New Roman" w:hAnsi="Times New Roman" w:cs="Times New Roman"/>
                <w:b w:val="0"/>
                <w:bCs w:val="0"/>
                <w:sz w:val="24"/>
              </w:rPr>
            </w:pPr>
            <w:r>
              <w:rPr>
                <w:rFonts w:hint="default" w:ascii="Times New Roman" w:hAnsi="Times New Roman" w:cs="Times New Roman"/>
                <w:b w:val="0"/>
                <w:bCs w:val="0"/>
                <w:sz w:val="24"/>
              </w:rPr>
              <w:t>综上所述，本项目建设符合扬州经济技术开发区土地利用规划及产业定位要求。</w:t>
            </w:r>
          </w:p>
          <w:p w14:paraId="28D5F969">
            <w:pPr>
              <w:pStyle w:val="6"/>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2、与规划环评审查意见相符性分析</w:t>
            </w:r>
          </w:p>
          <w:p w14:paraId="2A4FEA7B">
            <w:pPr>
              <w:pStyle w:val="27"/>
              <w:rPr>
                <w:rFonts w:hint="default" w:ascii="Times New Roman" w:hAnsi="Times New Roman" w:cs="Times New Roman"/>
              </w:rPr>
            </w:pPr>
            <w:r>
              <w:rPr>
                <w:rFonts w:hint="default" w:ascii="Times New Roman" w:hAnsi="Times New Roman" w:cs="Times New Roman"/>
                <w:sz w:val="24"/>
                <w:szCs w:val="32"/>
              </w:rPr>
              <w:t>表1.1  本项目与环审[2019]148号文相符性分析</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20"/>
              <w:gridCol w:w="2225"/>
              <w:gridCol w:w="662"/>
            </w:tblGrid>
            <w:tr w14:paraId="269B9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219" w:type="pct"/>
                  <w:noWrap w:val="0"/>
                  <w:vAlign w:val="center"/>
                </w:tcPr>
                <w:p w14:paraId="1940DABA">
                  <w:pPr>
                    <w:pStyle w:val="45"/>
                    <w:spacing w:beforeLines="0" w:afterLines="0" w:line="240" w:lineRule="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审查意见</w:t>
                  </w:r>
                </w:p>
              </w:tc>
              <w:tc>
                <w:tcPr>
                  <w:tcW w:w="1372" w:type="pct"/>
                  <w:noWrap w:val="0"/>
                  <w:vAlign w:val="center"/>
                </w:tcPr>
                <w:p w14:paraId="78C5CA6D">
                  <w:pPr>
                    <w:pStyle w:val="45"/>
                    <w:spacing w:beforeLines="0" w:afterLines="0" w:line="240" w:lineRule="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建设情况</w:t>
                  </w:r>
                </w:p>
              </w:tc>
              <w:tc>
                <w:tcPr>
                  <w:tcW w:w="408" w:type="pct"/>
                  <w:noWrap w:val="0"/>
                  <w:vAlign w:val="center"/>
                </w:tcPr>
                <w:p w14:paraId="7FF09B49">
                  <w:pPr>
                    <w:pStyle w:val="45"/>
                    <w:spacing w:beforeLines="0" w:afterLines="0" w:line="240" w:lineRule="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相符性</w:t>
                  </w:r>
                </w:p>
              </w:tc>
            </w:tr>
            <w:tr w14:paraId="79DDE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219" w:type="pct"/>
                  <w:noWrap w:val="0"/>
                  <w:vAlign w:val="center"/>
                </w:tcPr>
                <w:p w14:paraId="6E7F0359">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规划》引导，坚持绿色发展和协调发展。开发区应根据国家、区域发展战略，坚持生态优先、高效集约发展。鉴于规划期至2020年，现已临近，应在解决好现状环境问题的基础上结合城市总体规划和区域发展定位，衔接江苏省“三线一单”(生态保护红线、环境质量底线、资源利用上线、生态环境准入清单)成果，尽早开展新一轮规划编制工作，并同步开展规划环评以指导开发区后续发展。</w:t>
                  </w:r>
                </w:p>
              </w:tc>
              <w:tc>
                <w:tcPr>
                  <w:tcW w:w="1372" w:type="pct"/>
                  <w:noWrap w:val="0"/>
                  <w:vAlign w:val="center"/>
                </w:tcPr>
                <w:p w14:paraId="3F6EF5AB">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本项目符合国家和地方相关产业政策，项目用地性质属于开发区规划的工业用地。本项目符合“三线一单”的管控要求。</w:t>
                  </w:r>
                </w:p>
              </w:tc>
              <w:tc>
                <w:tcPr>
                  <w:tcW w:w="408" w:type="pct"/>
                  <w:noWrap w:val="0"/>
                  <w:vAlign w:val="center"/>
                </w:tcPr>
                <w:p w14:paraId="262C0617">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14:paraId="61071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219" w:type="pct"/>
                  <w:noWrap w:val="0"/>
                  <w:vAlign w:val="center"/>
                </w:tcPr>
                <w:p w14:paraId="6F4D8CC8">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守环境质量底线，根据国家和江苏省关于大气、水、土壤污染防治相关要求，制定开发区污染减排方案及污染物总量管控要求。采取有效措施减少主要污染物和特征污染物的排放量，确保区域环境质量持续改善，实现产业发展与城市发展、生态环境保护协调。</w:t>
                  </w:r>
                </w:p>
              </w:tc>
              <w:tc>
                <w:tcPr>
                  <w:tcW w:w="1372" w:type="pct"/>
                  <w:noWrap w:val="0"/>
                  <w:vAlign w:val="center"/>
                </w:tcPr>
                <w:p w14:paraId="35E13497">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该项目运营过程中会产生一定的废水、废气、噪声、固废等污染物，采取相应的污染防治措施后，各类污染物均能达标排放，不会降低当地环境质量功能。</w:t>
                  </w:r>
                </w:p>
              </w:tc>
              <w:tc>
                <w:tcPr>
                  <w:tcW w:w="408" w:type="pct"/>
                  <w:noWrap w:val="0"/>
                  <w:vAlign w:val="center"/>
                </w:tcPr>
                <w:p w14:paraId="713C849D">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14:paraId="4D878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219" w:type="pct"/>
                  <w:noWrap w:val="0"/>
                  <w:vAlign w:val="center"/>
                </w:tcPr>
                <w:p w14:paraId="302112C7">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格入区项目生态环境准入，推动高质量发展。落实《报告书》生态环境准入要求，限制与主导产业不相关、污染物排放量大的项目入区。引进项目的生产工艺、设备，以及单位产品能耗、物耗、污染物排放和资源利用等均需达到同行业国际先进水平。</w:t>
                  </w:r>
                </w:p>
              </w:tc>
              <w:tc>
                <w:tcPr>
                  <w:tcW w:w="1372" w:type="pct"/>
                  <w:noWrap w:val="0"/>
                  <w:vAlign w:val="center"/>
                </w:tcPr>
                <w:p w14:paraId="28A70AD1">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本项目采取的工艺技术成熟、设备稳定可行，采用的工艺技术和设备符合节能设计标准和规范。</w:t>
                  </w:r>
                </w:p>
              </w:tc>
              <w:tc>
                <w:tcPr>
                  <w:tcW w:w="408" w:type="pct"/>
                  <w:noWrap w:val="0"/>
                  <w:vAlign w:val="center"/>
                </w:tcPr>
                <w:p w14:paraId="5A33D961">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14:paraId="19B4E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219" w:type="pct"/>
                  <w:noWrap w:val="0"/>
                  <w:vAlign w:val="center"/>
                </w:tcPr>
                <w:p w14:paraId="5D9A3E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完善环境监测体系，明确实施时限、责任主体等，做好开发区内大气、地表水、地下水、土壤等环境要素的长期跟踪监测与管理，根据跟踪监测评价结果适时优化调整《规划》内容。</w:t>
                  </w:r>
                </w:p>
              </w:tc>
              <w:tc>
                <w:tcPr>
                  <w:tcW w:w="1372" w:type="pct"/>
                  <w:noWrap w:val="0"/>
                  <w:vAlign w:val="center"/>
                </w:tcPr>
                <w:p w14:paraId="53E5B28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eastAsia"/>
                      <w:color w:val="auto"/>
                    </w:rPr>
                    <w:t>落实好提出的污染防治措施，</w:t>
                  </w:r>
                  <w:r>
                    <w:rPr>
                      <w:rFonts w:hint="eastAsia"/>
                      <w:color w:val="auto"/>
                      <w:lang w:val="en-US" w:eastAsia="zh-CN"/>
                    </w:rPr>
                    <w:t>本项目已制定</w:t>
                  </w:r>
                  <w:r>
                    <w:rPr>
                      <w:rFonts w:hint="eastAsia"/>
                      <w:color w:val="auto"/>
                    </w:rPr>
                    <w:t>在突发环境事故情况下，项目土壤和地下水跟踪监测计划</w:t>
                  </w:r>
                  <w:r>
                    <w:rPr>
                      <w:rFonts w:hint="eastAsia"/>
                      <w:color w:val="auto"/>
                      <w:lang w:eastAsia="zh-CN"/>
                    </w:rPr>
                    <w:t>。</w:t>
                  </w:r>
                </w:p>
              </w:tc>
              <w:tc>
                <w:tcPr>
                  <w:tcW w:w="408" w:type="pct"/>
                  <w:noWrap w:val="0"/>
                  <w:vAlign w:val="center"/>
                </w:tcPr>
                <w:p w14:paraId="1A4935E3">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14:paraId="2F0A7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219" w:type="pct"/>
                  <w:noWrap w:val="0"/>
                  <w:vAlign w:val="center"/>
                </w:tcPr>
                <w:p w14:paraId="0BF870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善开发区环境基础设施建设，推进区域环境质量持续改善和提升。落实《报告书》提出的加快推进六圩污水处理厂扩建工程建设及其提标改造和中水回用要求，确保污水处理厂达标排放，逐步提高中水回用率；固体废物应依法依规处理处置，危险废物交由有资质的单位统一收集处理。</w:t>
                  </w:r>
                </w:p>
              </w:tc>
              <w:tc>
                <w:tcPr>
                  <w:tcW w:w="1372" w:type="pct"/>
                  <w:noWrap w:val="0"/>
                  <w:vAlign w:val="center"/>
                </w:tcPr>
                <w:p w14:paraId="3BD00D3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本项目固体废物依规处理处置，危险废物委托有资质单位统一收集处理。</w:t>
                  </w:r>
                </w:p>
              </w:tc>
              <w:tc>
                <w:tcPr>
                  <w:tcW w:w="408" w:type="pct"/>
                  <w:noWrap w:val="0"/>
                  <w:vAlign w:val="center"/>
                </w:tcPr>
                <w:p w14:paraId="763757C4">
                  <w:pPr>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bl>
          <w:p w14:paraId="66907330">
            <w:pPr>
              <w:rPr>
                <w:rFonts w:hint="default" w:ascii="Times New Roman" w:hAnsi="Times New Roman" w:cs="Times New Roman"/>
              </w:rPr>
            </w:pPr>
          </w:p>
        </w:tc>
      </w:tr>
      <w:tr w14:paraId="42067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9" w:type="dxa"/>
            <w:vAlign w:val="center"/>
          </w:tcPr>
          <w:p w14:paraId="7DA8F9A4">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其他符合性分析</w:t>
            </w:r>
          </w:p>
        </w:tc>
        <w:tc>
          <w:tcPr>
            <w:tcW w:w="8356" w:type="dxa"/>
            <w:gridSpan w:val="4"/>
            <w:vAlign w:val="center"/>
          </w:tcPr>
          <w:p w14:paraId="554D0B82">
            <w:pPr>
              <w:pStyle w:val="6"/>
              <w:rPr>
                <w:rFonts w:hint="default" w:ascii="Times New Roman" w:hAnsi="Times New Roman" w:eastAsia="宋体" w:cs="Times New Roman"/>
              </w:rPr>
            </w:pPr>
            <w:r>
              <w:rPr>
                <w:rFonts w:hint="default" w:ascii="Times New Roman" w:hAnsi="Times New Roman" w:eastAsia="宋体" w:cs="Times New Roman"/>
              </w:rPr>
              <w:t>1、与“三线一单”相符性分析</w:t>
            </w:r>
          </w:p>
          <w:p w14:paraId="34A8F1A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（1）生态保护红线</w:t>
            </w:r>
          </w:p>
          <w:p w14:paraId="3EE7CC7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位于扬州经济技术开发区金山路129号。根据《省政府关于印发江苏省生态空间管控区域规划的通知》（苏政发〔2020〕1号），距离本项目最近的生态空间管控区为京杭大运河（邗江区）洪水调蓄区，位于本项目东</w:t>
            </w:r>
            <w:r>
              <w:rPr>
                <w:rFonts w:hint="eastAsia" w:cs="Times New Roman"/>
                <w:sz w:val="24"/>
                <w:lang w:val="en-US" w:eastAsia="zh-CN"/>
              </w:rPr>
              <w:t>侧</w:t>
            </w:r>
            <w:r>
              <w:rPr>
                <w:rFonts w:hint="default" w:ascii="Times New Roman" w:hAnsi="Times New Roman" w:cs="Times New Roman"/>
                <w:sz w:val="24"/>
              </w:rPr>
              <w:t>，约4.</w:t>
            </w:r>
            <w:r>
              <w:rPr>
                <w:rFonts w:hint="eastAsia" w:cs="Times New Roman"/>
                <w:sz w:val="24"/>
                <w:lang w:val="en-US" w:eastAsia="zh-CN"/>
              </w:rPr>
              <w:t xml:space="preserve">5 </w:t>
            </w:r>
            <w:r>
              <w:rPr>
                <w:rFonts w:hint="default" w:ascii="Times New Roman" w:hAnsi="Times New Roman" w:cs="Times New Roman"/>
                <w:sz w:val="24"/>
              </w:rPr>
              <w:t>km，本项目用地不在其红线范围内，项目建设期与营运期均不会对其产生不良环境影响，符合生态红线保护规划的相关要求。</w:t>
            </w:r>
          </w:p>
          <w:p w14:paraId="24E569A6">
            <w:pPr>
              <w:pStyle w:val="27"/>
              <w:rPr>
                <w:rFonts w:hint="default" w:ascii="Times New Roman" w:hAnsi="Times New Roman" w:cs="Times New Roman"/>
                <w:sz w:val="24"/>
                <w:szCs w:val="32"/>
              </w:rPr>
            </w:pPr>
            <w:r>
              <w:rPr>
                <w:rFonts w:hint="default" w:ascii="Times New Roman" w:hAnsi="Times New Roman" w:cs="Times New Roman"/>
                <w:sz w:val="24"/>
                <w:szCs w:val="32"/>
              </w:rPr>
              <w:t>表1.2  项目周边涉及生态空间保护区域</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786"/>
              <w:gridCol w:w="1006"/>
              <w:gridCol w:w="1767"/>
              <w:gridCol w:w="653"/>
              <w:gridCol w:w="885"/>
              <w:gridCol w:w="869"/>
              <w:gridCol w:w="892"/>
            </w:tblGrid>
            <w:tr w14:paraId="3FD10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70" w:type="pct"/>
                  <w:vMerge w:val="restart"/>
                  <w:tcBorders>
                    <w:tl2br w:val="nil"/>
                    <w:tr2bl w:val="nil"/>
                  </w:tcBorders>
                  <w:vAlign w:val="center"/>
                </w:tcPr>
                <w:p w14:paraId="2222EE33">
                  <w:pPr>
                    <w:pStyle w:val="20"/>
                    <w:spacing w:beforeLines="0" w:afterLines="0"/>
                    <w:rPr>
                      <w:rFonts w:hint="default" w:ascii="Times New Roman" w:hAnsi="Times New Roman" w:cs="Times New Roman"/>
                      <w:b/>
                      <w:bCs/>
                      <w:szCs w:val="21"/>
                    </w:rPr>
                  </w:pPr>
                  <w:bookmarkStart w:id="4" w:name="_Toc26133"/>
                  <w:r>
                    <w:rPr>
                      <w:rFonts w:hint="default" w:ascii="Times New Roman" w:hAnsi="Times New Roman" w:cs="Times New Roman"/>
                      <w:b/>
                      <w:bCs/>
                      <w:szCs w:val="21"/>
                    </w:rPr>
                    <w:t>生态空间保护区域名称</w:t>
                  </w:r>
                  <w:bookmarkEnd w:id="4"/>
                </w:p>
              </w:tc>
              <w:tc>
                <w:tcPr>
                  <w:tcW w:w="484" w:type="pct"/>
                  <w:vMerge w:val="restart"/>
                  <w:tcBorders>
                    <w:tl2br w:val="nil"/>
                    <w:tr2bl w:val="nil"/>
                  </w:tcBorders>
                  <w:vAlign w:val="center"/>
                </w:tcPr>
                <w:p w14:paraId="6B660854">
                  <w:pPr>
                    <w:pStyle w:val="20"/>
                    <w:spacing w:beforeLines="0" w:afterLines="0"/>
                    <w:rPr>
                      <w:rFonts w:hint="default" w:ascii="Times New Roman" w:hAnsi="Times New Roman" w:cs="Times New Roman"/>
                      <w:b/>
                      <w:bCs/>
                      <w:szCs w:val="21"/>
                    </w:rPr>
                  </w:pPr>
                  <w:bookmarkStart w:id="5" w:name="_Toc9861"/>
                  <w:bookmarkStart w:id="6" w:name="_Toc14165292"/>
                  <w:bookmarkStart w:id="7" w:name="_Toc16341"/>
                  <w:r>
                    <w:rPr>
                      <w:rFonts w:hint="default" w:ascii="Times New Roman" w:hAnsi="Times New Roman" w:cs="Times New Roman"/>
                      <w:b/>
                      <w:bCs/>
                      <w:szCs w:val="21"/>
                    </w:rPr>
                    <w:t>主导生态功能</w:t>
                  </w:r>
                  <w:bookmarkEnd w:id="5"/>
                  <w:bookmarkEnd w:id="6"/>
                  <w:bookmarkEnd w:id="7"/>
                </w:p>
              </w:tc>
              <w:tc>
                <w:tcPr>
                  <w:tcW w:w="1709" w:type="pct"/>
                  <w:gridSpan w:val="2"/>
                  <w:tcBorders>
                    <w:tl2br w:val="nil"/>
                    <w:tr2bl w:val="nil"/>
                  </w:tcBorders>
                  <w:vAlign w:val="center"/>
                </w:tcPr>
                <w:p w14:paraId="60862814">
                  <w:pPr>
                    <w:pStyle w:val="20"/>
                    <w:spacing w:beforeLines="0" w:afterLines="0"/>
                    <w:rPr>
                      <w:rFonts w:hint="default" w:ascii="Times New Roman" w:hAnsi="Times New Roman" w:cs="Times New Roman"/>
                      <w:b/>
                      <w:bCs/>
                      <w:szCs w:val="21"/>
                    </w:rPr>
                  </w:pPr>
                  <w:bookmarkStart w:id="8" w:name="_Toc28514"/>
                  <w:r>
                    <w:rPr>
                      <w:rFonts w:hint="default" w:ascii="Times New Roman" w:hAnsi="Times New Roman" w:cs="Times New Roman"/>
                      <w:b/>
                      <w:bCs/>
                      <w:szCs w:val="21"/>
                    </w:rPr>
                    <w:t>范围</w:t>
                  </w:r>
                  <w:bookmarkEnd w:id="8"/>
                </w:p>
              </w:tc>
              <w:tc>
                <w:tcPr>
                  <w:tcW w:w="1485" w:type="pct"/>
                  <w:gridSpan w:val="3"/>
                  <w:tcBorders>
                    <w:tl2br w:val="nil"/>
                    <w:tr2bl w:val="nil"/>
                  </w:tcBorders>
                  <w:vAlign w:val="center"/>
                </w:tcPr>
                <w:p w14:paraId="5A45F1BE">
                  <w:pPr>
                    <w:pStyle w:val="20"/>
                    <w:spacing w:beforeLines="0" w:afterLines="0"/>
                    <w:rPr>
                      <w:rFonts w:hint="default" w:ascii="Times New Roman" w:hAnsi="Times New Roman" w:cs="Times New Roman"/>
                      <w:b/>
                      <w:bCs/>
                      <w:szCs w:val="21"/>
                    </w:rPr>
                  </w:pPr>
                  <w:bookmarkStart w:id="9" w:name="_Toc14165294"/>
                  <w:bookmarkStart w:id="10" w:name="_Toc26228"/>
                  <w:bookmarkStart w:id="11" w:name="_Toc26545"/>
                  <w:r>
                    <w:rPr>
                      <w:rFonts w:hint="default" w:ascii="Times New Roman" w:hAnsi="Times New Roman" w:cs="Times New Roman"/>
                      <w:b/>
                      <w:bCs/>
                      <w:szCs w:val="21"/>
                    </w:rPr>
                    <w:t>面积（km</w:t>
                  </w:r>
                  <w:r>
                    <w:rPr>
                      <w:rFonts w:hint="default" w:ascii="Times New Roman" w:hAnsi="Times New Roman" w:cs="Times New Roman"/>
                      <w:b/>
                      <w:bCs/>
                      <w:szCs w:val="21"/>
                      <w:vertAlign w:val="superscript"/>
                    </w:rPr>
                    <w:t>2</w:t>
                  </w:r>
                  <w:r>
                    <w:rPr>
                      <w:rFonts w:hint="default" w:ascii="Times New Roman" w:hAnsi="Times New Roman" w:cs="Times New Roman"/>
                      <w:b/>
                      <w:bCs/>
                      <w:szCs w:val="21"/>
                    </w:rPr>
                    <w:t>）</w:t>
                  </w:r>
                  <w:bookmarkEnd w:id="9"/>
                  <w:bookmarkEnd w:id="10"/>
                  <w:bookmarkEnd w:id="11"/>
                </w:p>
              </w:tc>
              <w:tc>
                <w:tcPr>
                  <w:tcW w:w="550" w:type="pct"/>
                  <w:vMerge w:val="restart"/>
                  <w:tcBorders>
                    <w:tl2br w:val="nil"/>
                    <w:tr2bl w:val="nil"/>
                  </w:tcBorders>
                  <w:vAlign w:val="center"/>
                </w:tcPr>
                <w:p w14:paraId="230E81AC">
                  <w:pPr>
                    <w:pStyle w:val="20"/>
                    <w:spacing w:beforeLines="0" w:afterLines="0"/>
                    <w:rPr>
                      <w:rFonts w:hint="default" w:ascii="Times New Roman" w:hAnsi="Times New Roman" w:cs="Times New Roman"/>
                      <w:b/>
                      <w:bCs/>
                      <w:szCs w:val="21"/>
                    </w:rPr>
                  </w:pPr>
                  <w:bookmarkStart w:id="12" w:name="_Toc14165295"/>
                  <w:bookmarkStart w:id="13" w:name="_Toc30393"/>
                  <w:bookmarkStart w:id="14" w:name="_Toc29118"/>
                  <w:r>
                    <w:rPr>
                      <w:rFonts w:hint="default" w:ascii="Times New Roman" w:hAnsi="Times New Roman" w:cs="Times New Roman"/>
                      <w:b/>
                      <w:bCs/>
                      <w:szCs w:val="21"/>
                    </w:rPr>
                    <w:t>方位距离</w:t>
                  </w:r>
                  <w:bookmarkEnd w:id="12"/>
                  <w:bookmarkEnd w:id="13"/>
                  <w:bookmarkEnd w:id="14"/>
                </w:p>
              </w:tc>
            </w:tr>
            <w:tr w14:paraId="73601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70" w:type="pct"/>
                  <w:vMerge w:val="continue"/>
                  <w:tcBorders>
                    <w:tl2br w:val="nil"/>
                    <w:tr2bl w:val="nil"/>
                  </w:tcBorders>
                  <w:vAlign w:val="center"/>
                </w:tcPr>
                <w:p w14:paraId="4D71569E">
                  <w:pPr>
                    <w:pStyle w:val="20"/>
                    <w:spacing w:beforeLines="0" w:afterLines="0"/>
                    <w:rPr>
                      <w:rFonts w:hint="default" w:ascii="Times New Roman" w:hAnsi="Times New Roman" w:cs="Times New Roman"/>
                      <w:szCs w:val="21"/>
                    </w:rPr>
                  </w:pPr>
                </w:p>
              </w:tc>
              <w:tc>
                <w:tcPr>
                  <w:tcW w:w="484" w:type="pct"/>
                  <w:vMerge w:val="continue"/>
                  <w:tcBorders>
                    <w:tl2br w:val="nil"/>
                    <w:tr2bl w:val="nil"/>
                  </w:tcBorders>
                  <w:vAlign w:val="center"/>
                </w:tcPr>
                <w:p w14:paraId="2938AE6D">
                  <w:pPr>
                    <w:pStyle w:val="20"/>
                    <w:spacing w:beforeLines="0" w:afterLines="0"/>
                    <w:rPr>
                      <w:rFonts w:hint="default" w:ascii="Times New Roman" w:hAnsi="Times New Roman" w:cs="Times New Roman"/>
                      <w:szCs w:val="21"/>
                    </w:rPr>
                  </w:pPr>
                </w:p>
              </w:tc>
              <w:tc>
                <w:tcPr>
                  <w:tcW w:w="620" w:type="pct"/>
                  <w:tcBorders>
                    <w:tl2br w:val="nil"/>
                    <w:tr2bl w:val="nil"/>
                  </w:tcBorders>
                  <w:vAlign w:val="center"/>
                </w:tcPr>
                <w:p w14:paraId="7CAF4CD9">
                  <w:pPr>
                    <w:pStyle w:val="20"/>
                    <w:spacing w:beforeLines="0" w:afterLines="0"/>
                    <w:rPr>
                      <w:rFonts w:hint="default" w:ascii="Times New Roman" w:hAnsi="Times New Roman" w:cs="Times New Roman"/>
                      <w:b/>
                      <w:bCs/>
                      <w:szCs w:val="21"/>
                    </w:rPr>
                  </w:pPr>
                  <w:bookmarkStart w:id="15" w:name="_Toc30616"/>
                  <w:r>
                    <w:rPr>
                      <w:rFonts w:hint="default" w:ascii="Times New Roman" w:hAnsi="Times New Roman" w:cs="Times New Roman"/>
                      <w:b/>
                      <w:bCs/>
                      <w:szCs w:val="21"/>
                    </w:rPr>
                    <w:t>国家级生态保护红线范围</w:t>
                  </w:r>
                  <w:bookmarkEnd w:id="15"/>
                </w:p>
              </w:tc>
              <w:tc>
                <w:tcPr>
                  <w:tcW w:w="1088" w:type="pct"/>
                  <w:tcBorders>
                    <w:tl2br w:val="nil"/>
                    <w:tr2bl w:val="nil"/>
                  </w:tcBorders>
                  <w:vAlign w:val="center"/>
                </w:tcPr>
                <w:p w14:paraId="6F540BC8">
                  <w:pPr>
                    <w:pStyle w:val="20"/>
                    <w:spacing w:beforeLines="0" w:afterLines="0"/>
                    <w:rPr>
                      <w:rFonts w:hint="default" w:ascii="Times New Roman" w:hAnsi="Times New Roman" w:cs="Times New Roman"/>
                      <w:b/>
                      <w:bCs/>
                      <w:szCs w:val="21"/>
                    </w:rPr>
                  </w:pPr>
                  <w:bookmarkStart w:id="16" w:name="_Toc17210"/>
                  <w:r>
                    <w:rPr>
                      <w:rFonts w:hint="default" w:ascii="Times New Roman" w:hAnsi="Times New Roman" w:cs="Times New Roman"/>
                      <w:b/>
                      <w:bCs/>
                      <w:szCs w:val="21"/>
                    </w:rPr>
                    <w:t>生态空间管控区域范围</w:t>
                  </w:r>
                  <w:bookmarkEnd w:id="16"/>
                </w:p>
              </w:tc>
              <w:tc>
                <w:tcPr>
                  <w:tcW w:w="403" w:type="pct"/>
                  <w:tcBorders>
                    <w:tl2br w:val="nil"/>
                    <w:tr2bl w:val="nil"/>
                  </w:tcBorders>
                  <w:vAlign w:val="center"/>
                </w:tcPr>
                <w:p w14:paraId="7E2FAC13">
                  <w:pPr>
                    <w:pStyle w:val="20"/>
                    <w:spacing w:beforeLines="0" w:afterLines="0"/>
                    <w:rPr>
                      <w:rFonts w:hint="default" w:ascii="Times New Roman" w:hAnsi="Times New Roman" w:cs="Times New Roman"/>
                      <w:b/>
                      <w:bCs/>
                      <w:szCs w:val="21"/>
                    </w:rPr>
                  </w:pPr>
                  <w:bookmarkStart w:id="17" w:name="_Toc11576"/>
                  <w:bookmarkStart w:id="18" w:name="_Toc14165298"/>
                  <w:bookmarkStart w:id="19" w:name="_Toc11654"/>
                  <w:r>
                    <w:rPr>
                      <w:rFonts w:hint="default" w:ascii="Times New Roman" w:hAnsi="Times New Roman" w:cs="Times New Roman"/>
                      <w:b/>
                      <w:bCs/>
                      <w:szCs w:val="21"/>
                    </w:rPr>
                    <w:t>总面积</w:t>
                  </w:r>
                  <w:bookmarkEnd w:id="17"/>
                  <w:bookmarkEnd w:id="18"/>
                  <w:bookmarkEnd w:id="19"/>
                </w:p>
              </w:tc>
              <w:tc>
                <w:tcPr>
                  <w:tcW w:w="546" w:type="pct"/>
                  <w:tcBorders>
                    <w:tl2br w:val="nil"/>
                    <w:tr2bl w:val="nil"/>
                  </w:tcBorders>
                  <w:vAlign w:val="center"/>
                </w:tcPr>
                <w:p w14:paraId="0C7F7F10">
                  <w:pPr>
                    <w:pStyle w:val="20"/>
                    <w:spacing w:beforeLines="0" w:afterLines="0"/>
                    <w:rPr>
                      <w:rFonts w:hint="default" w:ascii="Times New Roman" w:hAnsi="Times New Roman" w:cs="Times New Roman"/>
                      <w:b/>
                      <w:bCs/>
                      <w:szCs w:val="21"/>
                    </w:rPr>
                  </w:pPr>
                  <w:bookmarkStart w:id="20" w:name="_Toc6975"/>
                  <w:r>
                    <w:rPr>
                      <w:rFonts w:hint="default" w:ascii="Times New Roman" w:hAnsi="Times New Roman" w:cs="Times New Roman"/>
                      <w:b/>
                      <w:bCs/>
                      <w:szCs w:val="21"/>
                    </w:rPr>
                    <w:t>国家级生态保护红线面积</w:t>
                  </w:r>
                  <w:bookmarkEnd w:id="20"/>
                </w:p>
              </w:tc>
              <w:tc>
                <w:tcPr>
                  <w:tcW w:w="535" w:type="pct"/>
                  <w:tcBorders>
                    <w:tl2br w:val="nil"/>
                    <w:tr2bl w:val="nil"/>
                  </w:tcBorders>
                  <w:vAlign w:val="center"/>
                </w:tcPr>
                <w:p w14:paraId="6C871692">
                  <w:pPr>
                    <w:pStyle w:val="20"/>
                    <w:spacing w:beforeLines="0" w:afterLines="0"/>
                    <w:rPr>
                      <w:rFonts w:hint="default" w:ascii="Times New Roman" w:hAnsi="Times New Roman" w:cs="Times New Roman"/>
                      <w:b/>
                      <w:bCs/>
                      <w:szCs w:val="21"/>
                    </w:rPr>
                  </w:pPr>
                  <w:bookmarkStart w:id="21" w:name="_Toc21783"/>
                  <w:r>
                    <w:rPr>
                      <w:rFonts w:hint="default" w:ascii="Times New Roman" w:hAnsi="Times New Roman" w:cs="Times New Roman"/>
                      <w:b/>
                      <w:bCs/>
                      <w:szCs w:val="21"/>
                    </w:rPr>
                    <w:t>生态空间管控区域</w:t>
                  </w:r>
                  <w:bookmarkEnd w:id="21"/>
                  <w:r>
                    <w:rPr>
                      <w:rFonts w:hint="default" w:ascii="Times New Roman" w:hAnsi="Times New Roman" w:cs="Times New Roman"/>
                      <w:b/>
                      <w:bCs/>
                      <w:szCs w:val="21"/>
                    </w:rPr>
                    <w:t>面积</w:t>
                  </w:r>
                </w:p>
              </w:tc>
              <w:tc>
                <w:tcPr>
                  <w:tcW w:w="550" w:type="pct"/>
                  <w:vMerge w:val="continue"/>
                  <w:tcBorders>
                    <w:tl2br w:val="nil"/>
                    <w:tr2bl w:val="nil"/>
                  </w:tcBorders>
                  <w:vAlign w:val="center"/>
                </w:tcPr>
                <w:p w14:paraId="36147C6E">
                  <w:pPr>
                    <w:pStyle w:val="20"/>
                    <w:spacing w:beforeLines="0" w:afterLines="0"/>
                    <w:rPr>
                      <w:rFonts w:hint="default" w:ascii="Times New Roman" w:hAnsi="Times New Roman" w:cs="Times New Roman"/>
                      <w:szCs w:val="21"/>
                    </w:rPr>
                  </w:pPr>
                </w:p>
              </w:tc>
            </w:tr>
            <w:tr w14:paraId="2AD6C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70" w:type="pct"/>
                  <w:tcBorders>
                    <w:tl2br w:val="nil"/>
                    <w:tr2bl w:val="nil"/>
                  </w:tcBorders>
                  <w:vAlign w:val="center"/>
                </w:tcPr>
                <w:p w14:paraId="67C5D736">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京杭大运河（邗江区）洪水调蓄区</w:t>
                  </w:r>
                </w:p>
              </w:tc>
              <w:tc>
                <w:tcPr>
                  <w:tcW w:w="484" w:type="pct"/>
                  <w:tcBorders>
                    <w:tl2br w:val="nil"/>
                    <w:tr2bl w:val="nil"/>
                  </w:tcBorders>
                  <w:vAlign w:val="center"/>
                </w:tcPr>
                <w:p w14:paraId="13E300A1">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洪水调蓄区</w:t>
                  </w:r>
                </w:p>
              </w:tc>
              <w:tc>
                <w:tcPr>
                  <w:tcW w:w="620" w:type="pct"/>
                  <w:tcBorders>
                    <w:tl2br w:val="nil"/>
                    <w:tr2bl w:val="nil"/>
                  </w:tcBorders>
                  <w:vAlign w:val="center"/>
                </w:tcPr>
                <w:p w14:paraId="4BA76BEA">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w:t>
                  </w:r>
                </w:p>
              </w:tc>
              <w:tc>
                <w:tcPr>
                  <w:tcW w:w="1088" w:type="pct"/>
                  <w:tcBorders>
                    <w:tl2br w:val="nil"/>
                    <w:tr2bl w:val="nil"/>
                  </w:tcBorders>
                  <w:vAlign w:val="center"/>
                </w:tcPr>
                <w:p w14:paraId="19B5A31E">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北至广陵区区界，南至与长江交汇处，全长7.7公里</w:t>
                  </w:r>
                </w:p>
              </w:tc>
              <w:tc>
                <w:tcPr>
                  <w:tcW w:w="403" w:type="pct"/>
                  <w:tcBorders>
                    <w:tl2br w:val="nil"/>
                    <w:tr2bl w:val="nil"/>
                  </w:tcBorders>
                  <w:vAlign w:val="center"/>
                </w:tcPr>
                <w:p w14:paraId="0601633C">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1.82</w:t>
                  </w:r>
                </w:p>
              </w:tc>
              <w:tc>
                <w:tcPr>
                  <w:tcW w:w="546" w:type="pct"/>
                  <w:tcBorders>
                    <w:tl2br w:val="nil"/>
                    <w:tr2bl w:val="nil"/>
                  </w:tcBorders>
                  <w:vAlign w:val="center"/>
                </w:tcPr>
                <w:p w14:paraId="1A8EFB57">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w:t>
                  </w:r>
                </w:p>
              </w:tc>
              <w:tc>
                <w:tcPr>
                  <w:tcW w:w="535" w:type="pct"/>
                  <w:tcBorders>
                    <w:tl2br w:val="nil"/>
                    <w:tr2bl w:val="nil"/>
                  </w:tcBorders>
                  <w:vAlign w:val="center"/>
                </w:tcPr>
                <w:p w14:paraId="79DE0E28">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1.82</w:t>
                  </w:r>
                </w:p>
              </w:tc>
              <w:tc>
                <w:tcPr>
                  <w:tcW w:w="550" w:type="pct"/>
                  <w:tcBorders>
                    <w:tl2br w:val="nil"/>
                    <w:tr2bl w:val="nil"/>
                  </w:tcBorders>
                  <w:vAlign w:val="center"/>
                </w:tcPr>
                <w:p w14:paraId="19FDB1B4">
                  <w:pPr>
                    <w:pStyle w:val="20"/>
                    <w:spacing w:beforeLines="0" w:afterLines="0"/>
                    <w:rPr>
                      <w:rFonts w:hint="default" w:ascii="Times New Roman" w:hAnsi="Times New Roman" w:cs="Times New Roman"/>
                      <w:szCs w:val="21"/>
                    </w:rPr>
                  </w:pPr>
                  <w:r>
                    <w:rPr>
                      <w:rFonts w:hint="default" w:ascii="Times New Roman" w:hAnsi="Times New Roman" w:cs="Times New Roman"/>
                      <w:szCs w:val="21"/>
                    </w:rPr>
                    <w:t>E</w:t>
                  </w:r>
                  <w:r>
                    <w:rPr>
                      <w:rFonts w:hint="default" w:ascii="Times New Roman" w:hAnsi="Times New Roman" w:cs="Times New Roman"/>
                      <w:szCs w:val="21"/>
                    </w:rPr>
                    <w:br w:type="textWrapping"/>
                  </w:r>
                  <w:r>
                    <w:rPr>
                      <w:rFonts w:hint="eastAsia" w:cs="Times New Roman"/>
                      <w:szCs w:val="21"/>
                      <w:lang w:val="en-US" w:eastAsia="zh-CN"/>
                    </w:rPr>
                    <w:t xml:space="preserve">4.5 </w:t>
                  </w:r>
                  <w:r>
                    <w:rPr>
                      <w:rFonts w:hint="default" w:ascii="Times New Roman" w:hAnsi="Times New Roman" w:cs="Times New Roman"/>
                      <w:szCs w:val="21"/>
                    </w:rPr>
                    <w:t>km</w:t>
                  </w:r>
                </w:p>
              </w:tc>
            </w:tr>
          </w:tbl>
          <w:p w14:paraId="06495A2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（2）环境质量底线</w:t>
            </w:r>
          </w:p>
          <w:p w14:paraId="1FDD36B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环境空气：根据扬州市生态环境局公布的《202</w:t>
            </w:r>
            <w:r>
              <w:rPr>
                <w:rFonts w:hint="eastAsia" w:cs="Times New Roman"/>
                <w:sz w:val="24"/>
                <w:lang w:val="en-US" w:eastAsia="zh-CN"/>
              </w:rPr>
              <w:t>3</w:t>
            </w:r>
            <w:r>
              <w:rPr>
                <w:rFonts w:hint="default" w:ascii="Times New Roman" w:hAnsi="Times New Roman" w:cs="Times New Roman"/>
                <w:sz w:val="24"/>
              </w:rPr>
              <w:t>年扬州市年度环境质量公报》，项目所在区域O</w:t>
            </w:r>
            <w:r>
              <w:rPr>
                <w:rFonts w:hint="default" w:ascii="Times New Roman" w:hAnsi="Times New Roman" w:cs="Times New Roman"/>
                <w:sz w:val="24"/>
                <w:vertAlign w:val="subscript"/>
              </w:rPr>
              <w:t>3</w:t>
            </w:r>
            <w:r>
              <w:rPr>
                <w:rFonts w:hint="default" w:ascii="Times New Roman" w:hAnsi="Times New Roman" w:cs="Times New Roman"/>
                <w:sz w:val="24"/>
              </w:rPr>
              <w:t>超标，为不达标区，通过《扬州市202</w:t>
            </w:r>
            <w:r>
              <w:rPr>
                <w:rFonts w:hint="eastAsia" w:cs="Times New Roman"/>
                <w:sz w:val="24"/>
                <w:lang w:val="en-US" w:eastAsia="zh-CN"/>
              </w:rPr>
              <w:t>2</w:t>
            </w:r>
            <w:r>
              <w:rPr>
                <w:rFonts w:hint="default" w:ascii="Times New Roman" w:hAnsi="Times New Roman" w:cs="Times New Roman"/>
                <w:sz w:val="24"/>
              </w:rPr>
              <w:t>年大气污染防治工作计划》，在落实大气污染防治措施的情况下，区域环境空气质量可以得到改善。</w:t>
            </w:r>
          </w:p>
          <w:p w14:paraId="68FC642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地表水环境：根据扬州市生态环境局网站公布的《202</w:t>
            </w:r>
            <w:r>
              <w:rPr>
                <w:rFonts w:hint="default" w:ascii="Times New Roman" w:hAnsi="Times New Roman" w:cs="Times New Roman"/>
                <w:sz w:val="24"/>
                <w:lang w:val="en-US" w:eastAsia="zh-CN"/>
              </w:rPr>
              <w:t>3</w:t>
            </w:r>
            <w:r>
              <w:rPr>
                <w:rFonts w:hint="default" w:ascii="Times New Roman" w:hAnsi="Times New Roman" w:cs="Times New Roman"/>
                <w:sz w:val="24"/>
              </w:rPr>
              <w:t>年扬州市年度环境质量报告》，京杭运河扬州段总体水质为</w:t>
            </w:r>
            <w:r>
              <w:rPr>
                <w:rFonts w:hint="default"/>
                <w:sz w:val="24"/>
              </w:rPr>
              <w:t>Ⅱ类</w:t>
            </w:r>
            <w:r>
              <w:rPr>
                <w:rFonts w:hint="default" w:ascii="Times New Roman" w:hAnsi="Times New Roman" w:cs="Times New Roman"/>
                <w:sz w:val="24"/>
              </w:rPr>
              <w:t>。</w:t>
            </w:r>
          </w:p>
          <w:p w14:paraId="0E6A0CA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声环境：本项目企业周边50m范围内无声环境保护目标，因此不对声环境现状进行相关分析。</w:t>
            </w:r>
          </w:p>
          <w:p w14:paraId="17110F4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本项目建设过程中会产生一定的污染物，在采取相应的污染防治措施后，各类污染物的排放一般不会对周围环境造成不良影响，不会降低当地环境质量。</w:t>
            </w:r>
          </w:p>
          <w:p w14:paraId="0B4AE3A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（3）资源利用上线</w:t>
            </w:r>
          </w:p>
          <w:p w14:paraId="4EE5ED5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用地属于扬州经济技术开发区规划工业用地，不超过当地土地供应指标；供水来自当地供水管网，当地自来水厂能够满足本项目用水要求；项目生产不使用高污染燃料，使用的电能来自当地供电管网，用电量不超过电网负荷。因此，本项目利用的土地、能源及水资源均在当地环境承载力的范围内，不会突破当地资源利用上线。</w:t>
            </w:r>
          </w:p>
          <w:p w14:paraId="5378A8C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（4）生态环境准入清单</w:t>
            </w:r>
          </w:p>
          <w:p w14:paraId="011BF26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本项目位于扬州经济技术开发区，与生态环境准入政策对照情况如下。</w:t>
            </w:r>
          </w:p>
          <w:p w14:paraId="73A068D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①根据《江苏省政府关于印发江苏省“三线一单生态环境分区管控方案的通知”》（苏政发〔2020〕49号），本项目位于重点管控单元。经与江苏省省域生态环境管控要求和重点区域（流域）生态环境分区管控要求对照分析，本项目不属于管控要求中禁止类、限制类项目。</w:t>
            </w:r>
          </w:p>
          <w:p w14:paraId="13D6497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②根据《扬州市“三线一单”生态环境分区管控实施方案》（扬环〔2021〕2号），本项目位于重点管控单元，管经与重点控单元环境准入清单对照分析，本项目不属于管控要求中禁止类、限制类项目。</w:t>
            </w:r>
          </w:p>
          <w:p w14:paraId="1F2F2E7A">
            <w:pPr>
              <w:pStyle w:val="27"/>
              <w:rPr>
                <w:rFonts w:hint="default" w:ascii="Times New Roman" w:hAnsi="Times New Roman" w:cs="Times New Roman"/>
                <w:sz w:val="24"/>
                <w:szCs w:val="32"/>
              </w:rPr>
            </w:pPr>
            <w:r>
              <w:rPr>
                <w:rFonts w:hint="default" w:ascii="Times New Roman" w:hAnsi="Times New Roman" w:cs="Times New Roman"/>
                <w:sz w:val="24"/>
                <w:szCs w:val="32"/>
              </w:rPr>
              <w:t>表1.3  与扬环〔2021〕2号文的相符性分析</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364"/>
              <w:gridCol w:w="2133"/>
              <w:gridCol w:w="756"/>
            </w:tblGrid>
            <w:tr w14:paraId="07D40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8" w:type="pct"/>
                  <w:gridSpan w:val="2"/>
                  <w:tcBorders>
                    <w:tl2br w:val="nil"/>
                    <w:tr2bl w:val="nil"/>
                  </w:tcBorders>
                  <w:vAlign w:val="center"/>
                </w:tcPr>
                <w:p w14:paraId="6B457DD9">
                  <w:pPr>
                    <w:pStyle w:val="20"/>
                    <w:widowControl/>
                    <w:spacing w:before="24" w:after="24"/>
                    <w:rPr>
                      <w:rFonts w:hint="default" w:ascii="Times New Roman" w:hAnsi="Times New Roman" w:cs="Times New Roman"/>
                      <w:b/>
                      <w:bCs/>
                    </w:rPr>
                  </w:pPr>
                  <w:r>
                    <w:rPr>
                      <w:rFonts w:hint="default" w:ascii="Times New Roman" w:hAnsi="Times New Roman" w:cs="Times New Roman"/>
                      <w:b/>
                      <w:bCs/>
                    </w:rPr>
                    <w:t>文件要求</w:t>
                  </w:r>
                </w:p>
              </w:tc>
              <w:tc>
                <w:tcPr>
                  <w:tcW w:w="1315" w:type="pct"/>
                  <w:tcBorders>
                    <w:tl2br w:val="nil"/>
                    <w:tr2bl w:val="nil"/>
                  </w:tcBorders>
                  <w:vAlign w:val="center"/>
                </w:tcPr>
                <w:p w14:paraId="4E5536B3">
                  <w:pPr>
                    <w:pStyle w:val="20"/>
                    <w:widowControl/>
                    <w:spacing w:before="24" w:after="24"/>
                    <w:rPr>
                      <w:rFonts w:hint="default" w:ascii="Times New Roman" w:hAnsi="Times New Roman" w:cs="Times New Roman"/>
                      <w:b/>
                      <w:bCs/>
                    </w:rPr>
                  </w:pPr>
                  <w:r>
                    <w:rPr>
                      <w:rFonts w:hint="default" w:ascii="Times New Roman" w:hAnsi="Times New Roman" w:cs="Times New Roman"/>
                      <w:b/>
                      <w:bCs/>
                    </w:rPr>
                    <w:t>本项目情况</w:t>
                  </w:r>
                </w:p>
              </w:tc>
              <w:tc>
                <w:tcPr>
                  <w:tcW w:w="466" w:type="pct"/>
                  <w:tcBorders>
                    <w:tl2br w:val="nil"/>
                    <w:tr2bl w:val="nil"/>
                  </w:tcBorders>
                  <w:vAlign w:val="center"/>
                </w:tcPr>
                <w:p w14:paraId="48348968">
                  <w:pPr>
                    <w:pStyle w:val="20"/>
                    <w:widowControl/>
                    <w:spacing w:before="24" w:after="24"/>
                    <w:rPr>
                      <w:rFonts w:hint="default" w:ascii="Times New Roman" w:hAnsi="Times New Roman" w:cs="Times New Roman"/>
                      <w:b/>
                      <w:bCs/>
                    </w:rPr>
                  </w:pPr>
                  <w:r>
                    <w:rPr>
                      <w:rFonts w:hint="default" w:ascii="Times New Roman" w:hAnsi="Times New Roman" w:cs="Times New Roman"/>
                      <w:b/>
                      <w:bCs/>
                    </w:rPr>
                    <w:t>符合性</w:t>
                  </w:r>
                </w:p>
              </w:tc>
            </w:tr>
            <w:tr w14:paraId="021CA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l2br w:val="nil"/>
                    <w:tr2bl w:val="nil"/>
                  </w:tcBorders>
                  <w:vAlign w:val="center"/>
                </w:tcPr>
                <w:p w14:paraId="2FB8DD44">
                  <w:pPr>
                    <w:pStyle w:val="20"/>
                    <w:widowControl/>
                    <w:spacing w:before="24" w:after="24"/>
                    <w:rPr>
                      <w:rFonts w:hint="default" w:ascii="Times New Roman" w:hAnsi="Times New Roman" w:cs="Times New Roman"/>
                    </w:rPr>
                  </w:pPr>
                  <w:r>
                    <w:rPr>
                      <w:rFonts w:hint="default" w:ascii="Times New Roman" w:hAnsi="Times New Roman" w:cs="Times New Roman"/>
                    </w:rPr>
                    <w:t>空间布局约束</w:t>
                  </w:r>
                </w:p>
              </w:tc>
              <w:tc>
                <w:tcPr>
                  <w:tcW w:w="2690" w:type="pct"/>
                  <w:tcBorders>
                    <w:tl2br w:val="nil"/>
                    <w:tr2bl w:val="nil"/>
                  </w:tcBorders>
                  <w:vAlign w:val="center"/>
                </w:tcPr>
                <w:p w14:paraId="2CFA0E5F">
                  <w:pPr>
                    <w:pStyle w:val="20"/>
                    <w:widowControl/>
                    <w:spacing w:before="24" w:after="24"/>
                    <w:jc w:val="both"/>
                    <w:rPr>
                      <w:rFonts w:hint="default" w:ascii="Times New Roman" w:hAnsi="Times New Roman" w:cs="Times New Roman"/>
                    </w:rPr>
                  </w:pPr>
                  <w:r>
                    <w:rPr>
                      <w:rFonts w:hint="default" w:ascii="Times New Roman" w:hAnsi="Times New Roman" w:cs="Times New Roman"/>
                    </w:rPr>
                    <w:t>（1）优先发展绿色光电产业、....、生活性服务业、现代农业等主导产业。</w:t>
                  </w:r>
                </w:p>
                <w:p w14:paraId="44CBCF8F">
                  <w:pPr>
                    <w:pStyle w:val="20"/>
                    <w:widowControl/>
                    <w:spacing w:before="24" w:after="24"/>
                    <w:jc w:val="both"/>
                    <w:rPr>
                      <w:rFonts w:hint="eastAsia" w:ascii="Times New Roman" w:hAnsi="Times New Roman" w:eastAsia="宋体" w:cs="Times New Roman"/>
                      <w:lang w:eastAsia="zh-CN"/>
                    </w:rPr>
                  </w:pPr>
                  <w:r>
                    <w:rPr>
                      <w:rFonts w:hint="default" w:ascii="Times New Roman" w:hAnsi="Times New Roman" w:cs="Times New Roman"/>
                    </w:rPr>
                    <w:t>（2）太阳能光伏产业、汽车及零部件、高端装备和轻工：限制发展......</w:t>
                  </w:r>
                  <w:r>
                    <w:rPr>
                      <w:rFonts w:hint="eastAsia" w:cs="Times New Roman"/>
                      <w:lang w:eastAsia="zh-CN"/>
                    </w:rPr>
                    <w:t>。</w:t>
                  </w:r>
                </w:p>
                <w:p w14:paraId="7B2D0907">
                  <w:pPr>
                    <w:pStyle w:val="20"/>
                    <w:widowControl/>
                    <w:spacing w:before="24" w:after="24"/>
                    <w:jc w:val="both"/>
                    <w:rPr>
                      <w:rFonts w:hint="default" w:ascii="Times New Roman" w:hAnsi="Times New Roman" w:cs="Times New Roman"/>
                    </w:rPr>
                  </w:pPr>
                  <w:r>
                    <w:rPr>
                      <w:rFonts w:hint="default" w:ascii="Times New Roman" w:hAnsi="Times New Roman" w:cs="Times New Roman"/>
                    </w:rPr>
                    <w:t>（3）造纸、制革加工、家庭护理用品、食品加工、家电制造：禁止.....。</w:t>
                  </w:r>
                </w:p>
                <w:p w14:paraId="7F2120EC">
                  <w:pPr>
                    <w:pStyle w:val="20"/>
                    <w:widowControl/>
                    <w:spacing w:before="24" w:after="24"/>
                    <w:jc w:val="both"/>
                    <w:rPr>
                      <w:rFonts w:hint="default" w:ascii="Times New Roman" w:hAnsi="Times New Roman" w:cs="Times New Roman"/>
                    </w:rPr>
                  </w:pPr>
                  <w:r>
                    <w:rPr>
                      <w:rFonts w:hint="default" w:ascii="Times New Roman" w:hAnsi="Times New Roman" w:cs="Times New Roman"/>
                    </w:rPr>
                    <w:t>（4）禁止发展煤化工产业、石油化工产业、钢铁产业、化工合产业、电解铝产业、水泥产业。</w:t>
                  </w:r>
                </w:p>
              </w:tc>
              <w:tc>
                <w:tcPr>
                  <w:tcW w:w="1315" w:type="pct"/>
                  <w:tcBorders>
                    <w:tl2br w:val="nil"/>
                    <w:tr2bl w:val="nil"/>
                  </w:tcBorders>
                  <w:vAlign w:val="center"/>
                </w:tcPr>
                <w:p w14:paraId="0959FA25">
                  <w:pPr>
                    <w:pStyle w:val="20"/>
                    <w:widowControl/>
                    <w:spacing w:before="24" w:after="24"/>
                    <w:jc w:val="both"/>
                    <w:rPr>
                      <w:rFonts w:hint="eastAsia" w:ascii="Times New Roman" w:hAnsi="Times New Roman" w:eastAsia="宋体" w:cs="Times New Roman"/>
                      <w:lang w:eastAsia="zh-CN"/>
                    </w:rPr>
                  </w:pPr>
                  <w:r>
                    <w:rPr>
                      <w:rFonts w:hint="default" w:ascii="Times New Roman" w:hAnsi="Times New Roman" w:cs="Times New Roman"/>
                    </w:rPr>
                    <w:t>本项目为太阳能光伏</w:t>
                  </w:r>
                  <w:r>
                    <w:rPr>
                      <w:rFonts w:hint="eastAsia" w:cs="Times New Roman"/>
                      <w:lang w:val="en-US" w:eastAsia="zh-CN"/>
                    </w:rPr>
                    <w:t>相关</w:t>
                  </w:r>
                  <w:r>
                    <w:rPr>
                      <w:rFonts w:hint="default" w:ascii="Times New Roman" w:hAnsi="Times New Roman" w:cs="Times New Roman"/>
                    </w:rPr>
                    <w:t>产业，属绿色光电</w:t>
                  </w:r>
                  <w:r>
                    <w:rPr>
                      <w:rFonts w:hint="eastAsia" w:cs="Times New Roman"/>
                      <w:lang w:val="en-US" w:eastAsia="zh-CN"/>
                    </w:rPr>
                    <w:t>产业</w:t>
                  </w:r>
                  <w:r>
                    <w:rPr>
                      <w:rFonts w:hint="default" w:ascii="Times New Roman" w:hAnsi="Times New Roman" w:cs="Times New Roman"/>
                    </w:rPr>
                    <w:t>范畴。不属于限制和禁止项目范围内</w:t>
                  </w:r>
                  <w:r>
                    <w:rPr>
                      <w:rFonts w:hint="eastAsia" w:cs="Times New Roman"/>
                      <w:lang w:eastAsia="zh-CN"/>
                    </w:rPr>
                    <w:t>。</w:t>
                  </w:r>
                </w:p>
              </w:tc>
              <w:tc>
                <w:tcPr>
                  <w:tcW w:w="466" w:type="pct"/>
                  <w:tcBorders>
                    <w:tl2br w:val="nil"/>
                    <w:tr2bl w:val="nil"/>
                  </w:tcBorders>
                  <w:vAlign w:val="center"/>
                </w:tcPr>
                <w:p w14:paraId="6B615E04">
                  <w:pPr>
                    <w:pStyle w:val="20"/>
                    <w:widowControl/>
                    <w:spacing w:before="24" w:after="24"/>
                    <w:rPr>
                      <w:rFonts w:hint="default" w:ascii="Times New Roman" w:hAnsi="Times New Roman" w:cs="Times New Roman"/>
                    </w:rPr>
                  </w:pPr>
                  <w:r>
                    <w:rPr>
                      <w:rFonts w:hint="default" w:ascii="Times New Roman" w:hAnsi="Times New Roman" w:cs="Times New Roman"/>
                    </w:rPr>
                    <w:t>符合</w:t>
                  </w:r>
                </w:p>
              </w:tc>
            </w:tr>
            <w:tr w14:paraId="5EC44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l2br w:val="nil"/>
                    <w:tr2bl w:val="nil"/>
                  </w:tcBorders>
                  <w:vAlign w:val="center"/>
                </w:tcPr>
                <w:p w14:paraId="1DDC85BE">
                  <w:pPr>
                    <w:pStyle w:val="20"/>
                    <w:widowControl/>
                    <w:spacing w:before="24" w:after="24"/>
                    <w:rPr>
                      <w:rFonts w:hint="default" w:ascii="Times New Roman" w:hAnsi="Times New Roman" w:cs="Times New Roman"/>
                    </w:rPr>
                  </w:pPr>
                  <w:r>
                    <w:rPr>
                      <w:rFonts w:hint="default" w:ascii="Times New Roman" w:hAnsi="Times New Roman" w:cs="Times New Roman"/>
                    </w:rPr>
                    <w:t>污染物排放管控</w:t>
                  </w:r>
                </w:p>
              </w:tc>
              <w:tc>
                <w:tcPr>
                  <w:tcW w:w="2690" w:type="pct"/>
                  <w:tcBorders>
                    <w:tl2br w:val="nil"/>
                    <w:tr2bl w:val="nil"/>
                  </w:tcBorders>
                  <w:vAlign w:val="center"/>
                </w:tcPr>
                <w:p w14:paraId="3594F1BD">
                  <w:pPr>
                    <w:pStyle w:val="20"/>
                    <w:widowControl/>
                    <w:spacing w:before="24" w:after="24"/>
                    <w:jc w:val="both"/>
                    <w:rPr>
                      <w:rFonts w:hint="default" w:ascii="Times New Roman" w:hAnsi="Times New Roman" w:cs="Times New Roman"/>
                    </w:rPr>
                  </w:pPr>
                  <w:r>
                    <w:rPr>
                      <w:rFonts w:hint="default" w:ascii="Times New Roman" w:hAnsi="Times New Roman" w:cs="Times New Roman"/>
                    </w:rPr>
                    <w:t>（1）严格实施污染物总量控制制度，...园区污染物排放总量不得突破环评报告及批复的总量。</w:t>
                  </w:r>
                </w:p>
                <w:p w14:paraId="2586EB13">
                  <w:pPr>
                    <w:pStyle w:val="20"/>
                    <w:widowControl/>
                    <w:spacing w:before="24" w:after="24"/>
                    <w:jc w:val="both"/>
                    <w:rPr>
                      <w:rFonts w:hint="default" w:ascii="Times New Roman" w:hAnsi="Times New Roman" w:cs="Times New Roman"/>
                    </w:rPr>
                  </w:pPr>
                  <w:r>
                    <w:rPr>
                      <w:rFonts w:hint="default" w:ascii="Times New Roman" w:hAnsi="Times New Roman" w:cs="Times New Roman"/>
                    </w:rPr>
                    <w:t>（2）年废气污染物排放量：二氧化硫7927.35吨/年，氮氧化物8697.68吨/年，烟粉尘2108.26吨/年，挥发性有机物3077.63吨/年。</w:t>
                  </w:r>
                </w:p>
                <w:p w14:paraId="5A1C2BED">
                  <w:pPr>
                    <w:pStyle w:val="20"/>
                    <w:widowControl/>
                    <w:spacing w:before="24" w:after="24"/>
                    <w:jc w:val="both"/>
                    <w:rPr>
                      <w:rFonts w:hint="default" w:ascii="Times New Roman" w:hAnsi="Times New Roman" w:cs="Times New Roman"/>
                    </w:rPr>
                  </w:pPr>
                  <w:r>
                    <w:rPr>
                      <w:rFonts w:hint="default" w:ascii="Times New Roman" w:hAnsi="Times New Roman" w:cs="Times New Roman"/>
                    </w:rPr>
                    <w:t>（3）年废水污染物排放量：化学需氧量4959.26吨/年，氨氮247.95吨/年，总磷46.57吨/年。总量指标纳入六圩污水处理厂总量范围内。</w:t>
                  </w:r>
                </w:p>
              </w:tc>
              <w:tc>
                <w:tcPr>
                  <w:tcW w:w="1315" w:type="pct"/>
                  <w:tcBorders>
                    <w:tl2br w:val="nil"/>
                    <w:tr2bl w:val="nil"/>
                  </w:tcBorders>
                  <w:vAlign w:val="center"/>
                </w:tcPr>
                <w:p w14:paraId="663745DD">
                  <w:pPr>
                    <w:pStyle w:val="20"/>
                    <w:widowControl/>
                    <w:spacing w:before="24" w:after="24"/>
                    <w:jc w:val="both"/>
                    <w:rPr>
                      <w:rFonts w:hint="default" w:ascii="Times New Roman" w:hAnsi="Times New Roman" w:cs="Times New Roman"/>
                    </w:rPr>
                  </w:pPr>
                  <w:r>
                    <w:rPr>
                      <w:rFonts w:hint="default" w:ascii="Times New Roman" w:hAnsi="Times New Roman" w:cs="Times New Roman"/>
                    </w:rPr>
                    <w:t>本项目建成前向有关部门申请总量控制指标，建成后严格控制污染物排放量，确保在总量控制范围内。</w:t>
                  </w:r>
                </w:p>
              </w:tc>
              <w:tc>
                <w:tcPr>
                  <w:tcW w:w="466" w:type="pct"/>
                  <w:tcBorders>
                    <w:tl2br w:val="nil"/>
                    <w:tr2bl w:val="nil"/>
                  </w:tcBorders>
                  <w:vAlign w:val="center"/>
                </w:tcPr>
                <w:p w14:paraId="33E226DB">
                  <w:pPr>
                    <w:pStyle w:val="20"/>
                    <w:widowControl/>
                    <w:spacing w:before="24" w:after="24"/>
                    <w:rPr>
                      <w:rFonts w:hint="default" w:ascii="Times New Roman" w:hAnsi="Times New Roman" w:cs="Times New Roman"/>
                    </w:rPr>
                  </w:pPr>
                  <w:r>
                    <w:rPr>
                      <w:rFonts w:hint="default" w:ascii="Times New Roman" w:hAnsi="Times New Roman" w:cs="Times New Roman"/>
                    </w:rPr>
                    <w:t>符合</w:t>
                  </w:r>
                </w:p>
              </w:tc>
            </w:tr>
            <w:tr w14:paraId="03723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l2br w:val="nil"/>
                    <w:tr2bl w:val="nil"/>
                  </w:tcBorders>
                  <w:vAlign w:val="center"/>
                </w:tcPr>
                <w:p w14:paraId="4D4ED15D">
                  <w:pPr>
                    <w:pStyle w:val="20"/>
                    <w:widowControl/>
                    <w:spacing w:before="24" w:after="24"/>
                    <w:rPr>
                      <w:rFonts w:hint="default" w:ascii="Times New Roman" w:hAnsi="Times New Roman" w:cs="Times New Roman"/>
                    </w:rPr>
                  </w:pPr>
                  <w:r>
                    <w:rPr>
                      <w:rFonts w:hint="default" w:ascii="Times New Roman" w:hAnsi="Times New Roman" w:cs="Times New Roman"/>
                    </w:rPr>
                    <w:t>环境风险防控</w:t>
                  </w:r>
                </w:p>
              </w:tc>
              <w:tc>
                <w:tcPr>
                  <w:tcW w:w="2690" w:type="pct"/>
                  <w:tcBorders>
                    <w:tl2br w:val="nil"/>
                    <w:tr2bl w:val="nil"/>
                  </w:tcBorders>
                  <w:vAlign w:val="center"/>
                </w:tcPr>
                <w:p w14:paraId="224E7BCE">
                  <w:pPr>
                    <w:pStyle w:val="20"/>
                    <w:widowControl/>
                    <w:spacing w:before="24" w:after="24"/>
                    <w:jc w:val="both"/>
                    <w:rPr>
                      <w:rFonts w:hint="default" w:ascii="Times New Roman" w:hAnsi="Times New Roman" w:cs="Times New Roman"/>
                    </w:rPr>
                  </w:pPr>
                  <w:r>
                    <w:rPr>
                      <w:rFonts w:hint="default" w:ascii="Times New Roman" w:hAnsi="Times New Roman" w:cs="Times New Roman"/>
                    </w:rPr>
                    <w:t>（1）园区应建立环境风险防控体系，编制开发区突发环境事件应急预案，储备足够的应急物资，定期组织应急演练。</w:t>
                  </w:r>
                </w:p>
                <w:p w14:paraId="24FDBAD1">
                  <w:pPr>
                    <w:pStyle w:val="20"/>
                    <w:widowControl/>
                    <w:spacing w:before="24" w:after="24"/>
                    <w:jc w:val="both"/>
                    <w:rPr>
                      <w:rFonts w:hint="eastAsia" w:ascii="Times New Roman" w:hAnsi="Times New Roman" w:eastAsia="宋体" w:cs="Times New Roman"/>
                      <w:lang w:eastAsia="zh-CN"/>
                    </w:rPr>
                  </w:pPr>
                  <w:r>
                    <w:rPr>
                      <w:rFonts w:hint="default" w:ascii="Times New Roman" w:hAnsi="Times New Roman" w:cs="Times New Roman"/>
                    </w:rPr>
                    <w:t>（2）园区内工业区与居住区之间设置100米的安全防护距离</w:t>
                  </w:r>
                  <w:r>
                    <w:rPr>
                      <w:rFonts w:hint="eastAsia" w:cs="Times New Roman"/>
                      <w:lang w:eastAsia="zh-CN"/>
                    </w:rPr>
                    <w:t>。</w:t>
                  </w:r>
                </w:p>
              </w:tc>
              <w:tc>
                <w:tcPr>
                  <w:tcW w:w="1315" w:type="pct"/>
                  <w:tcBorders>
                    <w:tl2br w:val="nil"/>
                    <w:tr2bl w:val="nil"/>
                  </w:tcBorders>
                  <w:vAlign w:val="center"/>
                </w:tcPr>
                <w:p w14:paraId="1BDFEEAE">
                  <w:pPr>
                    <w:pStyle w:val="20"/>
                    <w:widowControl/>
                    <w:spacing w:before="24" w:after="24"/>
                    <w:jc w:val="both"/>
                    <w:rPr>
                      <w:rFonts w:hint="default" w:ascii="Times New Roman" w:hAnsi="Times New Roman" w:eastAsia="宋体" w:cs="Times New Roman"/>
                      <w:lang w:val="en-US" w:eastAsia="zh-CN"/>
                    </w:rPr>
                  </w:pPr>
                  <w:r>
                    <w:rPr>
                      <w:rFonts w:hint="default" w:ascii="Times New Roman" w:hAnsi="Times New Roman" w:cs="Times New Roman"/>
                    </w:rPr>
                    <w:t>本项目建成后将制定应急预案</w:t>
                  </w:r>
                  <w:r>
                    <w:rPr>
                      <w:rFonts w:hint="eastAsia" w:cs="Times New Roman"/>
                      <w:lang w:eastAsia="zh-CN"/>
                    </w:rPr>
                    <w:t>。</w:t>
                  </w:r>
                  <w:r>
                    <w:rPr>
                      <w:rFonts w:hint="eastAsia" w:cs="Times New Roman"/>
                      <w:lang w:val="en-US" w:eastAsia="zh-CN"/>
                    </w:rPr>
                    <w:t>项目区与最近的居住区距离为130米，无需设置安全防护距离。</w:t>
                  </w:r>
                </w:p>
              </w:tc>
              <w:tc>
                <w:tcPr>
                  <w:tcW w:w="466" w:type="pct"/>
                  <w:tcBorders>
                    <w:tl2br w:val="nil"/>
                    <w:tr2bl w:val="nil"/>
                  </w:tcBorders>
                  <w:vAlign w:val="center"/>
                </w:tcPr>
                <w:p w14:paraId="2A1A6CD0">
                  <w:pPr>
                    <w:pStyle w:val="20"/>
                    <w:widowControl/>
                    <w:spacing w:before="24" w:after="24"/>
                    <w:rPr>
                      <w:rFonts w:hint="default" w:ascii="Times New Roman" w:hAnsi="Times New Roman" w:cs="Times New Roman"/>
                    </w:rPr>
                  </w:pPr>
                  <w:r>
                    <w:rPr>
                      <w:rFonts w:hint="default" w:ascii="Times New Roman" w:hAnsi="Times New Roman" w:cs="Times New Roman"/>
                    </w:rPr>
                    <w:t>符合</w:t>
                  </w:r>
                </w:p>
              </w:tc>
            </w:tr>
            <w:tr w14:paraId="128EC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l2br w:val="nil"/>
                    <w:tr2bl w:val="nil"/>
                  </w:tcBorders>
                  <w:vAlign w:val="center"/>
                </w:tcPr>
                <w:p w14:paraId="6A2FD4CA">
                  <w:pPr>
                    <w:pStyle w:val="20"/>
                    <w:widowControl/>
                    <w:spacing w:before="24" w:after="24"/>
                    <w:rPr>
                      <w:rFonts w:hint="default" w:ascii="Times New Roman" w:hAnsi="Times New Roman" w:cs="Times New Roman"/>
                    </w:rPr>
                  </w:pPr>
                  <w:r>
                    <w:rPr>
                      <w:rFonts w:hint="default" w:ascii="Times New Roman" w:hAnsi="Times New Roman" w:cs="Times New Roman"/>
                    </w:rPr>
                    <w:t>资源开发效率要求</w:t>
                  </w:r>
                </w:p>
              </w:tc>
              <w:tc>
                <w:tcPr>
                  <w:tcW w:w="2690" w:type="pct"/>
                  <w:tcBorders>
                    <w:tl2br w:val="nil"/>
                    <w:tr2bl w:val="nil"/>
                  </w:tcBorders>
                  <w:vAlign w:val="center"/>
                </w:tcPr>
                <w:p w14:paraId="0F22034F">
                  <w:pPr>
                    <w:pStyle w:val="20"/>
                    <w:widowControl/>
                    <w:spacing w:before="24" w:after="24"/>
                    <w:jc w:val="both"/>
                    <w:rPr>
                      <w:rFonts w:hint="default" w:ascii="Times New Roman" w:hAnsi="Times New Roman" w:cs="Times New Roman"/>
                    </w:rPr>
                  </w:pPr>
                  <w:r>
                    <w:rPr>
                      <w:rFonts w:hint="default" w:ascii="Times New Roman" w:hAnsi="Times New Roman" w:cs="Times New Roman"/>
                    </w:rPr>
                    <w:t>（1）用水总量上限36.39亿立方米。</w:t>
                  </w:r>
                </w:p>
                <w:p w14:paraId="77521A36">
                  <w:pPr>
                    <w:pStyle w:val="20"/>
                    <w:widowControl/>
                    <w:spacing w:before="24" w:after="24"/>
                    <w:jc w:val="both"/>
                    <w:rPr>
                      <w:rFonts w:hint="default" w:ascii="Times New Roman" w:hAnsi="Times New Roman" w:cs="Times New Roman"/>
                    </w:rPr>
                  </w:pPr>
                  <w:r>
                    <w:rPr>
                      <w:rFonts w:hint="default" w:ascii="Times New Roman" w:hAnsi="Times New Roman" w:cs="Times New Roman"/>
                    </w:rPr>
                    <w:t>（2）土地资源总量上限108.24平方公里。</w:t>
                  </w:r>
                </w:p>
                <w:p w14:paraId="0174F976">
                  <w:pPr>
                    <w:pStyle w:val="20"/>
                    <w:widowControl/>
                    <w:spacing w:before="24" w:after="24"/>
                    <w:jc w:val="both"/>
                    <w:rPr>
                      <w:rFonts w:hint="default" w:ascii="Times New Roman" w:hAnsi="Times New Roman" w:cs="Times New Roman"/>
                    </w:rPr>
                  </w:pPr>
                  <w:r>
                    <w:rPr>
                      <w:rFonts w:hint="default" w:ascii="Times New Roman" w:hAnsi="Times New Roman" w:cs="Times New Roman"/>
                    </w:rPr>
                    <w:t>（3）长江岸线开发利用，生产岸线利用上限8.99公里。</w:t>
                  </w:r>
                </w:p>
              </w:tc>
              <w:tc>
                <w:tcPr>
                  <w:tcW w:w="1315" w:type="pct"/>
                  <w:tcBorders>
                    <w:tl2br w:val="nil"/>
                    <w:tr2bl w:val="nil"/>
                  </w:tcBorders>
                  <w:vAlign w:val="center"/>
                </w:tcPr>
                <w:p w14:paraId="0AC90FDB">
                  <w:pPr>
                    <w:pStyle w:val="20"/>
                    <w:widowControl/>
                    <w:spacing w:before="24" w:after="24"/>
                    <w:jc w:val="both"/>
                    <w:rPr>
                      <w:rFonts w:hint="default" w:ascii="Times New Roman" w:hAnsi="Times New Roman" w:cs="Times New Roman"/>
                    </w:rPr>
                  </w:pPr>
                  <w:r>
                    <w:rPr>
                      <w:rFonts w:hint="default" w:ascii="Times New Roman" w:hAnsi="Times New Roman" w:cs="Times New Roman"/>
                    </w:rPr>
                    <w:t>（1）本项目用水量少。</w:t>
                  </w:r>
                </w:p>
                <w:p w14:paraId="2E2CA2F9">
                  <w:pPr>
                    <w:pStyle w:val="20"/>
                    <w:widowControl/>
                    <w:spacing w:before="24" w:after="24"/>
                    <w:jc w:val="both"/>
                    <w:rPr>
                      <w:rFonts w:hint="default" w:ascii="Times New Roman" w:hAnsi="Times New Roman" w:cs="Times New Roman"/>
                    </w:rPr>
                  </w:pPr>
                  <w:r>
                    <w:rPr>
                      <w:rFonts w:hint="default" w:ascii="Times New Roman" w:hAnsi="Times New Roman" w:cs="Times New Roman"/>
                    </w:rPr>
                    <w:t>（2）本项目利用现有租赁厂房，不新增用地。</w:t>
                  </w:r>
                </w:p>
                <w:p w14:paraId="15A7C64A">
                  <w:pPr>
                    <w:pStyle w:val="20"/>
                    <w:widowControl/>
                    <w:spacing w:before="24" w:after="24"/>
                    <w:jc w:val="both"/>
                    <w:rPr>
                      <w:rFonts w:hint="default" w:ascii="Times New Roman" w:hAnsi="Times New Roman" w:cs="Times New Roman"/>
                    </w:rPr>
                  </w:pPr>
                  <w:r>
                    <w:rPr>
                      <w:rFonts w:hint="default" w:ascii="Times New Roman" w:hAnsi="Times New Roman" w:cs="Times New Roman"/>
                    </w:rPr>
                    <w:t>（3）项目不涉及长江岸线开发利用。</w:t>
                  </w:r>
                </w:p>
              </w:tc>
              <w:tc>
                <w:tcPr>
                  <w:tcW w:w="466" w:type="pct"/>
                  <w:tcBorders>
                    <w:tl2br w:val="nil"/>
                    <w:tr2bl w:val="nil"/>
                  </w:tcBorders>
                  <w:vAlign w:val="center"/>
                </w:tcPr>
                <w:p w14:paraId="4C85AFB0">
                  <w:pPr>
                    <w:pStyle w:val="20"/>
                    <w:widowControl/>
                    <w:spacing w:before="24" w:after="24"/>
                    <w:rPr>
                      <w:rFonts w:hint="default" w:ascii="Times New Roman" w:hAnsi="Times New Roman" w:cs="Times New Roman"/>
                    </w:rPr>
                  </w:pPr>
                  <w:r>
                    <w:rPr>
                      <w:rFonts w:hint="default" w:ascii="Times New Roman" w:hAnsi="Times New Roman" w:cs="Times New Roman"/>
                    </w:rPr>
                    <w:t>符合</w:t>
                  </w:r>
                </w:p>
              </w:tc>
            </w:tr>
          </w:tbl>
          <w:p w14:paraId="190CD51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③对照《市场准入负面清单（2022年版）》，本项目不属于其中禁止类准入项目；对照《长江经济带发展负面清单指南》（试行，2022年版）及《&lt;长江经济带发展负面清单指南（试行，2022年版）&gt;江苏省实施细则》（苏长江办发〔2022〕55号），本项目不在其禁止范围内。</w:t>
            </w:r>
          </w:p>
          <w:p w14:paraId="68602F6D">
            <w:pPr>
              <w:pStyle w:val="28"/>
              <w:rPr>
                <w:rFonts w:hint="default" w:ascii="Times New Roman" w:hAnsi="Times New Roman" w:cs="Times New Roman"/>
                <w:szCs w:val="32"/>
              </w:rPr>
            </w:pPr>
            <w:r>
              <w:rPr>
                <w:rFonts w:hint="default" w:ascii="Times New Roman" w:hAnsi="Times New Roman" w:cs="Times New Roman"/>
                <w:szCs w:val="32"/>
              </w:rPr>
              <w:t>表1.4  与苏长江办发〔2022〕55号文的相符性分析</w:t>
            </w:r>
          </w:p>
          <w:tbl>
            <w:tblPr>
              <w:tblStyle w:val="13"/>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4"/>
              <w:gridCol w:w="5764"/>
              <w:gridCol w:w="1822"/>
            </w:tblGrid>
            <w:tr w14:paraId="5A5AE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1" w:type="pct"/>
                  <w:gridSpan w:val="2"/>
                  <w:tcBorders>
                    <w:tl2br w:val="nil"/>
                    <w:tr2bl w:val="nil"/>
                  </w:tcBorders>
                  <w:vAlign w:val="center"/>
                </w:tcPr>
                <w:p w14:paraId="0245D9FB">
                  <w:pPr>
                    <w:pStyle w:val="20"/>
                    <w:widowControl/>
                    <w:spacing w:before="24" w:after="24"/>
                    <w:rPr>
                      <w:rFonts w:hint="default" w:ascii="Times New Roman" w:hAnsi="Times New Roman" w:cs="Times New Roman"/>
                      <w:b/>
                      <w:bCs/>
                    </w:rPr>
                  </w:pPr>
                  <w:r>
                    <w:rPr>
                      <w:rFonts w:hint="default" w:ascii="Times New Roman" w:hAnsi="Times New Roman" w:cs="Times New Roman"/>
                      <w:b/>
                      <w:bCs/>
                    </w:rPr>
                    <w:t>文件要求</w:t>
                  </w:r>
                </w:p>
              </w:tc>
              <w:tc>
                <w:tcPr>
                  <w:tcW w:w="1108" w:type="pct"/>
                  <w:tcBorders>
                    <w:tl2br w:val="nil"/>
                    <w:tr2bl w:val="nil"/>
                  </w:tcBorders>
                  <w:vAlign w:val="center"/>
                </w:tcPr>
                <w:p w14:paraId="02D6AD33">
                  <w:pPr>
                    <w:pStyle w:val="20"/>
                    <w:widowControl/>
                    <w:spacing w:before="24" w:after="24"/>
                    <w:rPr>
                      <w:rFonts w:hint="default" w:ascii="Times New Roman" w:hAnsi="Times New Roman" w:cs="Times New Roman"/>
                      <w:b/>
                      <w:bCs/>
                    </w:rPr>
                  </w:pPr>
                  <w:r>
                    <w:rPr>
                      <w:rFonts w:hint="default" w:ascii="Times New Roman" w:hAnsi="Times New Roman" w:cs="Times New Roman"/>
                      <w:b/>
                      <w:bCs/>
                    </w:rPr>
                    <w:t>本项目情况</w:t>
                  </w:r>
                </w:p>
              </w:tc>
            </w:tr>
            <w:tr w14:paraId="2846D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tcBorders>
                    <w:tl2br w:val="nil"/>
                    <w:tr2bl w:val="nil"/>
                  </w:tcBorders>
                  <w:vAlign w:val="center"/>
                </w:tcPr>
                <w:p w14:paraId="79C9B90F">
                  <w:pPr>
                    <w:pStyle w:val="20"/>
                    <w:widowControl/>
                    <w:spacing w:before="24" w:after="24"/>
                    <w:rPr>
                      <w:rFonts w:hint="default" w:ascii="Times New Roman" w:hAnsi="Times New Roman" w:cs="Times New Roman"/>
                    </w:rPr>
                  </w:pPr>
                  <w:r>
                    <w:rPr>
                      <w:rFonts w:hint="default" w:ascii="Times New Roman" w:hAnsi="Times New Roman" w:cs="Times New Roman"/>
                    </w:rPr>
                    <w:t>河段利用与岸线开发</w:t>
                  </w:r>
                </w:p>
              </w:tc>
              <w:tc>
                <w:tcPr>
                  <w:tcW w:w="3504" w:type="pct"/>
                  <w:tcBorders>
                    <w:tl2br w:val="nil"/>
                    <w:tr2bl w:val="nil"/>
                  </w:tcBorders>
                  <w:vAlign w:val="center"/>
                </w:tcPr>
                <w:p w14:paraId="0A548EBF">
                  <w:pPr>
                    <w:pStyle w:val="20"/>
                    <w:widowControl/>
                    <w:spacing w:before="24" w:after="24"/>
                    <w:jc w:val="both"/>
                    <w:rPr>
                      <w:rFonts w:hint="default" w:ascii="Times New Roman" w:hAnsi="Times New Roman" w:cs="Times New Roman"/>
                    </w:rPr>
                  </w:pPr>
                  <w:r>
                    <w:rPr>
                      <w:rFonts w:hint="default" w:ascii="Times New Roman" w:hAnsi="Times New Roman" w:cs="Times New Roman"/>
                    </w:rPr>
                    <w:t>1、禁止建设不符合国家港口布局规划和……项目。</w:t>
                  </w:r>
                </w:p>
                <w:p w14:paraId="26A5BF33">
                  <w:pPr>
                    <w:pStyle w:val="20"/>
                    <w:widowControl/>
                    <w:spacing w:before="24" w:after="24"/>
                    <w:jc w:val="both"/>
                    <w:rPr>
                      <w:rFonts w:hint="default" w:ascii="Times New Roman" w:hAnsi="Times New Roman" w:cs="Times New Roman"/>
                    </w:rPr>
                  </w:pPr>
                  <w:r>
                    <w:rPr>
                      <w:rFonts w:hint="default" w:ascii="Times New Roman" w:hAnsi="Times New Roman" w:cs="Times New Roman"/>
                    </w:rPr>
                    <w:t>2、……禁止在自然保护区核心区……建设与风景名胜资源保护无关的项目。……</w:t>
                  </w:r>
                </w:p>
                <w:p w14:paraId="54485514">
                  <w:pPr>
                    <w:pStyle w:val="20"/>
                    <w:widowControl/>
                    <w:spacing w:before="24" w:after="24"/>
                    <w:jc w:val="both"/>
                    <w:rPr>
                      <w:rFonts w:hint="default" w:ascii="Times New Roman" w:hAnsi="Times New Roman" w:cs="Times New Roman"/>
                    </w:rPr>
                  </w:pPr>
                  <w:r>
                    <w:rPr>
                      <w:rFonts w:hint="default" w:ascii="Times New Roman" w:hAnsi="Times New Roman" w:cs="Times New Roman"/>
                    </w:rPr>
                    <w:t>3、禁止在饮用水水源一级保护区.....；</w:t>
                  </w:r>
                </w:p>
                <w:p w14:paraId="71DCFB1D">
                  <w:pPr>
                    <w:pStyle w:val="20"/>
                    <w:widowControl/>
                    <w:spacing w:before="24" w:after="24"/>
                    <w:jc w:val="both"/>
                    <w:rPr>
                      <w:rFonts w:hint="default" w:ascii="Times New Roman" w:hAnsi="Times New Roman" w:cs="Times New Roman"/>
                    </w:rPr>
                  </w:pPr>
                  <w:r>
                    <w:rPr>
                      <w:rFonts w:hint="default" w:ascii="Times New Roman" w:hAnsi="Times New Roman" w:cs="Times New Roman"/>
                    </w:rPr>
                    <w:t>4、……禁止在....岸线和河段范围内新建围湖造田挖沙、采矿，以及任何不符合主体功能定位的投资建设项目。</w:t>
                  </w:r>
                </w:p>
                <w:p w14:paraId="12A373F0">
                  <w:pPr>
                    <w:pStyle w:val="20"/>
                    <w:widowControl/>
                    <w:spacing w:before="24" w:after="24"/>
                    <w:jc w:val="both"/>
                    <w:rPr>
                      <w:rFonts w:hint="default" w:ascii="Times New Roman" w:hAnsi="Times New Roman" w:cs="Times New Roman"/>
                    </w:rPr>
                  </w:pPr>
                  <w:r>
                    <w:rPr>
                      <w:rFonts w:hint="default" w:ascii="Times New Roman" w:hAnsi="Times New Roman" w:cs="Times New Roman"/>
                    </w:rPr>
                    <w:t>5、禁止违法利用、占用长江流域河湖岸线。……</w:t>
                  </w:r>
                </w:p>
                <w:p w14:paraId="3FDF74D8">
                  <w:pPr>
                    <w:pStyle w:val="20"/>
                    <w:widowControl/>
                    <w:spacing w:before="24" w:after="24"/>
                    <w:jc w:val="both"/>
                    <w:rPr>
                      <w:rFonts w:hint="default" w:ascii="Times New Roman" w:hAnsi="Times New Roman" w:cs="Times New Roman"/>
                    </w:rPr>
                  </w:pPr>
                  <w:r>
                    <w:rPr>
                      <w:rFonts w:hint="default" w:ascii="Times New Roman" w:hAnsi="Times New Roman" w:cs="Times New Roman"/>
                    </w:rPr>
                    <w:t>6、禁止未经许可在长江干支流......改设或扩大排污口。</w:t>
                  </w:r>
                </w:p>
              </w:tc>
              <w:tc>
                <w:tcPr>
                  <w:tcW w:w="1108" w:type="pct"/>
                  <w:tcBorders>
                    <w:tl2br w:val="nil"/>
                    <w:tr2bl w:val="nil"/>
                  </w:tcBorders>
                  <w:vAlign w:val="center"/>
                </w:tcPr>
                <w:p w14:paraId="344DBDD7">
                  <w:pPr>
                    <w:pStyle w:val="20"/>
                    <w:widowControl/>
                    <w:spacing w:before="24" w:after="24"/>
                    <w:rPr>
                      <w:rFonts w:hint="eastAsia" w:ascii="Times New Roman" w:hAnsi="Times New Roman" w:eastAsia="宋体" w:cs="Times New Roman"/>
                      <w:lang w:eastAsia="zh-CN"/>
                    </w:rPr>
                  </w:pPr>
                  <w:r>
                    <w:rPr>
                      <w:rFonts w:hint="default" w:ascii="Times New Roman" w:hAnsi="Times New Roman" w:cs="Times New Roman"/>
                    </w:rPr>
                    <w:t>不涉及</w:t>
                  </w:r>
                  <w:r>
                    <w:rPr>
                      <w:rFonts w:hint="eastAsia" w:cs="Times New Roman"/>
                      <w:lang w:eastAsia="zh-CN"/>
                    </w:rPr>
                    <w:t>。</w:t>
                  </w:r>
                </w:p>
              </w:tc>
            </w:tr>
            <w:tr w14:paraId="29FBC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restart"/>
                  <w:tcBorders>
                    <w:tl2br w:val="nil"/>
                    <w:tr2bl w:val="nil"/>
                  </w:tcBorders>
                  <w:vAlign w:val="center"/>
                </w:tcPr>
                <w:p w14:paraId="2750B5A8">
                  <w:pPr>
                    <w:pStyle w:val="20"/>
                    <w:widowControl/>
                    <w:spacing w:before="24" w:after="24"/>
                    <w:rPr>
                      <w:rFonts w:hint="default" w:ascii="Times New Roman" w:hAnsi="Times New Roman" w:cs="Times New Roman"/>
                    </w:rPr>
                  </w:pPr>
                  <w:r>
                    <w:rPr>
                      <w:rFonts w:hint="default" w:ascii="Times New Roman" w:hAnsi="Times New Roman" w:cs="Times New Roman"/>
                    </w:rPr>
                    <w:t>区域活动</w:t>
                  </w:r>
                </w:p>
              </w:tc>
              <w:tc>
                <w:tcPr>
                  <w:tcW w:w="3504" w:type="pct"/>
                  <w:tcBorders>
                    <w:tl2br w:val="nil"/>
                    <w:tr2bl w:val="nil"/>
                  </w:tcBorders>
                  <w:vAlign w:val="center"/>
                </w:tcPr>
                <w:p w14:paraId="504BF494">
                  <w:pPr>
                    <w:pStyle w:val="20"/>
                    <w:widowControl/>
                    <w:spacing w:before="24" w:after="24"/>
                    <w:jc w:val="both"/>
                    <w:rPr>
                      <w:rFonts w:hint="default" w:ascii="Times New Roman" w:hAnsi="Times New Roman" w:cs="Times New Roman"/>
                    </w:rPr>
                  </w:pPr>
                  <w:r>
                    <w:rPr>
                      <w:rFonts w:hint="default" w:ascii="Times New Roman" w:hAnsi="Times New Roman" w:cs="Times New Roman"/>
                    </w:rPr>
                    <w:t>7、禁止长江干流、长江口、......开展生产性捕捞。</w:t>
                  </w:r>
                </w:p>
                <w:p w14:paraId="36C21985">
                  <w:pPr>
                    <w:pStyle w:val="20"/>
                    <w:widowControl/>
                    <w:spacing w:before="24" w:after="24"/>
                    <w:jc w:val="both"/>
                    <w:rPr>
                      <w:rFonts w:hint="default" w:ascii="Times New Roman" w:hAnsi="Times New Roman" w:cs="Times New Roman"/>
                    </w:rPr>
                  </w:pPr>
                  <w:r>
                    <w:rPr>
                      <w:rFonts w:hint="default" w:ascii="Times New Roman" w:hAnsi="Times New Roman" w:cs="Times New Roman"/>
                    </w:rPr>
                    <w:t>8、禁止在距离长江干支流岸线一公里范围内新建、扩建化工园区和化工项目……。</w:t>
                  </w:r>
                </w:p>
                <w:p w14:paraId="4EB9B097">
                  <w:pPr>
                    <w:pStyle w:val="20"/>
                    <w:widowControl/>
                    <w:spacing w:before="24" w:after="24"/>
                    <w:jc w:val="both"/>
                    <w:rPr>
                      <w:rFonts w:hint="eastAsia" w:ascii="Times New Roman" w:hAnsi="Times New Roman" w:eastAsia="宋体" w:cs="Times New Roman"/>
                      <w:lang w:eastAsia="zh-CN"/>
                    </w:rPr>
                  </w:pPr>
                  <w:r>
                    <w:rPr>
                      <w:rFonts w:hint="default" w:ascii="Times New Roman" w:hAnsi="Times New Roman" w:cs="Times New Roman"/>
                    </w:rPr>
                    <w:t>9、禁止在长江干流岸线三公里范围内新建、改建、扩建尾矿库、冶炼渣库和磷石膏库，……</w:t>
                  </w:r>
                  <w:r>
                    <w:rPr>
                      <w:rFonts w:hint="eastAsia" w:cs="Times New Roman"/>
                      <w:lang w:eastAsia="zh-CN"/>
                    </w:rPr>
                    <w:t>。</w:t>
                  </w:r>
                </w:p>
                <w:p w14:paraId="4F61861C">
                  <w:pPr>
                    <w:pStyle w:val="20"/>
                    <w:widowControl/>
                    <w:spacing w:before="24" w:after="24"/>
                    <w:jc w:val="both"/>
                    <w:rPr>
                      <w:rFonts w:hint="default" w:ascii="Times New Roman" w:hAnsi="Times New Roman" w:cs="Times New Roman"/>
                    </w:rPr>
                  </w:pPr>
                  <w:r>
                    <w:rPr>
                      <w:rFonts w:hint="default" w:ascii="Times New Roman" w:hAnsi="Times New Roman" w:cs="Times New Roman"/>
                    </w:rPr>
                    <w:t>10、禁止在太湖流域一、二、三级保护区内开展......建设活动。</w:t>
                  </w:r>
                </w:p>
                <w:p w14:paraId="3523C3CC">
                  <w:pPr>
                    <w:pStyle w:val="20"/>
                    <w:widowControl/>
                    <w:spacing w:before="24" w:after="24"/>
                    <w:jc w:val="both"/>
                    <w:rPr>
                      <w:rFonts w:hint="default" w:ascii="Times New Roman" w:hAnsi="Times New Roman" w:cs="Times New Roman"/>
                    </w:rPr>
                  </w:pPr>
                  <w:r>
                    <w:rPr>
                      <w:rFonts w:hint="default" w:ascii="Times New Roman" w:hAnsi="Times New Roman" w:cs="Times New Roman"/>
                    </w:rPr>
                    <w:t>11、禁止在沿江地区新建、扩建....燃煤发电项目。</w:t>
                  </w:r>
                </w:p>
              </w:tc>
              <w:tc>
                <w:tcPr>
                  <w:tcW w:w="1108" w:type="pct"/>
                  <w:tcBorders>
                    <w:tl2br w:val="nil"/>
                    <w:tr2bl w:val="nil"/>
                  </w:tcBorders>
                  <w:vAlign w:val="center"/>
                </w:tcPr>
                <w:p w14:paraId="4E3ECB2E">
                  <w:pPr>
                    <w:pStyle w:val="20"/>
                    <w:widowControl/>
                    <w:spacing w:before="24" w:after="24"/>
                    <w:rPr>
                      <w:rFonts w:hint="eastAsia" w:ascii="Times New Roman" w:hAnsi="Times New Roman" w:eastAsia="宋体" w:cs="Times New Roman"/>
                      <w:lang w:eastAsia="zh-CN"/>
                    </w:rPr>
                  </w:pPr>
                  <w:r>
                    <w:rPr>
                      <w:rFonts w:hint="default" w:ascii="Times New Roman" w:hAnsi="Times New Roman" w:cs="Times New Roman"/>
                    </w:rPr>
                    <w:t>本项目距离长江1.8km，不在禁止范围内</w:t>
                  </w:r>
                  <w:r>
                    <w:rPr>
                      <w:rFonts w:hint="eastAsia" w:cs="Times New Roman"/>
                      <w:lang w:eastAsia="zh-CN"/>
                    </w:rPr>
                    <w:t>。</w:t>
                  </w:r>
                </w:p>
              </w:tc>
            </w:tr>
            <w:tr w14:paraId="0AD5F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tcBorders>
                    <w:tl2br w:val="nil"/>
                    <w:tr2bl w:val="nil"/>
                  </w:tcBorders>
                  <w:vAlign w:val="center"/>
                </w:tcPr>
                <w:p w14:paraId="6992A0A1">
                  <w:pPr>
                    <w:pStyle w:val="20"/>
                    <w:widowControl/>
                    <w:spacing w:before="24" w:after="24"/>
                    <w:rPr>
                      <w:rFonts w:hint="default" w:ascii="Times New Roman" w:hAnsi="Times New Roman" w:cs="Times New Roman"/>
                    </w:rPr>
                  </w:pPr>
                </w:p>
              </w:tc>
              <w:tc>
                <w:tcPr>
                  <w:tcW w:w="3504" w:type="pct"/>
                  <w:tcBorders>
                    <w:tl2br w:val="nil"/>
                    <w:tr2bl w:val="nil"/>
                  </w:tcBorders>
                  <w:vAlign w:val="center"/>
                </w:tcPr>
                <w:p w14:paraId="76D51BE7">
                  <w:pPr>
                    <w:pStyle w:val="20"/>
                    <w:widowControl/>
                    <w:spacing w:before="24" w:after="24"/>
                    <w:jc w:val="both"/>
                    <w:rPr>
                      <w:rFonts w:hint="default" w:ascii="Times New Roman" w:hAnsi="Times New Roman" w:cs="Times New Roman"/>
                    </w:rPr>
                  </w:pPr>
                  <w:r>
                    <w:rPr>
                      <w:rFonts w:hint="default" w:ascii="Times New Roman" w:hAnsi="Times New Roman" w:cs="Times New Roman"/>
                    </w:rPr>
                    <w:t>12、禁止在合规园区外新建、扩建钢铁、石化、化工、焦化、建材、有色、制浆造纸等高污染项目。</w:t>
                  </w:r>
                </w:p>
              </w:tc>
              <w:tc>
                <w:tcPr>
                  <w:tcW w:w="1108" w:type="pct"/>
                  <w:tcBorders>
                    <w:tl2br w:val="nil"/>
                    <w:tr2bl w:val="nil"/>
                  </w:tcBorders>
                  <w:vAlign w:val="center"/>
                </w:tcPr>
                <w:p w14:paraId="3FA65BD4">
                  <w:pPr>
                    <w:pStyle w:val="20"/>
                    <w:widowControl/>
                    <w:spacing w:before="24" w:after="24"/>
                    <w:rPr>
                      <w:rFonts w:hint="eastAsia" w:ascii="Times New Roman" w:hAnsi="Times New Roman" w:eastAsia="宋体" w:cs="Times New Roman"/>
                      <w:lang w:eastAsia="zh-CN"/>
                    </w:rPr>
                  </w:pPr>
                  <w:r>
                    <w:rPr>
                      <w:rFonts w:hint="default" w:ascii="Times New Roman" w:hAnsi="Times New Roman" w:cs="Times New Roman"/>
                    </w:rPr>
                    <w:t>扬州经济开发区属于合规园区；不在禁止范围</w:t>
                  </w:r>
                  <w:r>
                    <w:rPr>
                      <w:rFonts w:hint="eastAsia" w:cs="Times New Roman"/>
                      <w:lang w:eastAsia="zh-CN"/>
                    </w:rPr>
                    <w:t>。</w:t>
                  </w:r>
                </w:p>
              </w:tc>
            </w:tr>
            <w:tr w14:paraId="774B4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tcBorders>
                    <w:tl2br w:val="nil"/>
                    <w:tr2bl w:val="nil"/>
                  </w:tcBorders>
                  <w:vAlign w:val="center"/>
                </w:tcPr>
                <w:p w14:paraId="51635EB8">
                  <w:pPr>
                    <w:pStyle w:val="20"/>
                    <w:widowControl/>
                    <w:spacing w:before="24" w:after="24"/>
                    <w:rPr>
                      <w:rFonts w:hint="default" w:ascii="Times New Roman" w:hAnsi="Times New Roman" w:cs="Times New Roman"/>
                    </w:rPr>
                  </w:pPr>
                </w:p>
              </w:tc>
              <w:tc>
                <w:tcPr>
                  <w:tcW w:w="3504" w:type="pct"/>
                  <w:tcBorders>
                    <w:tl2br w:val="nil"/>
                    <w:tr2bl w:val="nil"/>
                  </w:tcBorders>
                  <w:vAlign w:val="center"/>
                </w:tcPr>
                <w:p w14:paraId="242E68EE">
                  <w:pPr>
                    <w:pStyle w:val="20"/>
                    <w:widowControl/>
                    <w:spacing w:before="24" w:after="24"/>
                    <w:jc w:val="both"/>
                    <w:rPr>
                      <w:rFonts w:hint="default" w:ascii="Times New Roman" w:hAnsi="Times New Roman" w:cs="Times New Roman"/>
                    </w:rPr>
                  </w:pPr>
                  <w:r>
                    <w:rPr>
                      <w:rFonts w:hint="default" w:ascii="Times New Roman" w:hAnsi="Times New Roman" w:cs="Times New Roman"/>
                    </w:rPr>
                    <w:t>13、禁止在取消化工定位的园区（集中区）内新建化工项目。</w:t>
                  </w:r>
                </w:p>
              </w:tc>
              <w:tc>
                <w:tcPr>
                  <w:tcW w:w="1108" w:type="pct"/>
                  <w:tcBorders>
                    <w:tl2br w:val="nil"/>
                    <w:tr2bl w:val="nil"/>
                  </w:tcBorders>
                  <w:vAlign w:val="center"/>
                </w:tcPr>
                <w:p w14:paraId="375951A4">
                  <w:pPr>
                    <w:pStyle w:val="20"/>
                    <w:widowControl/>
                    <w:spacing w:before="24" w:after="24"/>
                    <w:rPr>
                      <w:rFonts w:hint="eastAsia" w:ascii="Times New Roman" w:hAnsi="Times New Roman" w:eastAsia="宋体" w:cs="Times New Roman"/>
                      <w:lang w:eastAsia="zh-CN"/>
                    </w:rPr>
                  </w:pPr>
                  <w:r>
                    <w:rPr>
                      <w:rFonts w:hint="default" w:ascii="Times New Roman" w:hAnsi="Times New Roman" w:cs="Times New Roman"/>
                    </w:rPr>
                    <w:t>扬州经济开发区不属于化工园区；不在禁止范围</w:t>
                  </w:r>
                  <w:r>
                    <w:rPr>
                      <w:rFonts w:hint="eastAsia" w:cs="Times New Roman"/>
                      <w:lang w:eastAsia="zh-CN"/>
                    </w:rPr>
                    <w:t>。</w:t>
                  </w:r>
                </w:p>
              </w:tc>
            </w:tr>
            <w:tr w14:paraId="380A3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tcBorders>
                    <w:tl2br w:val="nil"/>
                    <w:tr2bl w:val="nil"/>
                  </w:tcBorders>
                  <w:vAlign w:val="center"/>
                </w:tcPr>
                <w:p w14:paraId="61515222">
                  <w:pPr>
                    <w:pStyle w:val="20"/>
                    <w:widowControl/>
                    <w:spacing w:before="24" w:after="24"/>
                    <w:rPr>
                      <w:rFonts w:hint="default" w:ascii="Times New Roman" w:hAnsi="Times New Roman" w:cs="Times New Roman"/>
                    </w:rPr>
                  </w:pPr>
                </w:p>
              </w:tc>
              <w:tc>
                <w:tcPr>
                  <w:tcW w:w="3504" w:type="pct"/>
                  <w:tcBorders>
                    <w:tl2br w:val="nil"/>
                    <w:tr2bl w:val="nil"/>
                  </w:tcBorders>
                  <w:vAlign w:val="center"/>
                </w:tcPr>
                <w:p w14:paraId="75D57ADE">
                  <w:pPr>
                    <w:pStyle w:val="20"/>
                    <w:widowControl/>
                    <w:spacing w:before="24" w:after="24"/>
                    <w:jc w:val="both"/>
                    <w:rPr>
                      <w:rFonts w:hint="default" w:ascii="Times New Roman" w:hAnsi="Times New Roman" w:cs="Times New Roman"/>
                    </w:rPr>
                  </w:pPr>
                  <w:r>
                    <w:rPr>
                      <w:rFonts w:hint="default" w:ascii="Times New Roman" w:hAnsi="Times New Roman" w:cs="Times New Roman"/>
                    </w:rPr>
                    <w:t>14、禁止在化工企业周边建设不符合安全距离规定的劳动密集型的非化工项目和其他人员密集的公共设施项目。</w:t>
                  </w:r>
                </w:p>
              </w:tc>
              <w:tc>
                <w:tcPr>
                  <w:tcW w:w="1108" w:type="pct"/>
                  <w:tcBorders>
                    <w:tl2br w:val="nil"/>
                    <w:tr2bl w:val="nil"/>
                  </w:tcBorders>
                  <w:vAlign w:val="center"/>
                </w:tcPr>
                <w:p w14:paraId="6F6A1AC4">
                  <w:pPr>
                    <w:pStyle w:val="20"/>
                    <w:widowControl/>
                    <w:spacing w:before="24" w:after="24"/>
                    <w:rPr>
                      <w:rFonts w:hint="eastAsia" w:ascii="Times New Roman" w:hAnsi="Times New Roman" w:eastAsia="宋体" w:cs="Times New Roman"/>
                      <w:lang w:eastAsia="zh-CN"/>
                    </w:rPr>
                  </w:pPr>
                  <w:r>
                    <w:rPr>
                      <w:rFonts w:hint="default" w:ascii="Times New Roman" w:hAnsi="Times New Roman" w:cs="Times New Roman"/>
                    </w:rPr>
                    <w:t>本项目不属于劳动密集型和公共设施项目</w:t>
                  </w:r>
                  <w:r>
                    <w:rPr>
                      <w:rFonts w:hint="eastAsia" w:cs="Times New Roman"/>
                      <w:lang w:eastAsia="zh-CN"/>
                    </w:rPr>
                    <w:t>。</w:t>
                  </w:r>
                </w:p>
              </w:tc>
            </w:tr>
            <w:tr w14:paraId="4881A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tcBorders>
                    <w:tl2br w:val="nil"/>
                    <w:tr2bl w:val="nil"/>
                  </w:tcBorders>
                  <w:vAlign w:val="center"/>
                </w:tcPr>
                <w:p w14:paraId="668EEBC1">
                  <w:pPr>
                    <w:pStyle w:val="20"/>
                    <w:widowControl/>
                    <w:spacing w:before="24" w:after="24"/>
                    <w:rPr>
                      <w:rFonts w:hint="default" w:ascii="Times New Roman" w:hAnsi="Times New Roman" w:cs="Times New Roman"/>
                    </w:rPr>
                  </w:pPr>
                  <w:r>
                    <w:rPr>
                      <w:rFonts w:hint="default" w:ascii="Times New Roman" w:hAnsi="Times New Roman" w:cs="Times New Roman"/>
                    </w:rPr>
                    <w:t>产业发展</w:t>
                  </w:r>
                </w:p>
              </w:tc>
              <w:tc>
                <w:tcPr>
                  <w:tcW w:w="3504" w:type="pct"/>
                  <w:tcBorders>
                    <w:tl2br w:val="nil"/>
                    <w:tr2bl w:val="nil"/>
                  </w:tcBorders>
                  <w:vAlign w:val="center"/>
                </w:tcPr>
                <w:p w14:paraId="49008CFA">
                  <w:pPr>
                    <w:pStyle w:val="20"/>
                    <w:widowControl/>
                    <w:spacing w:before="24" w:after="24"/>
                    <w:jc w:val="both"/>
                    <w:rPr>
                      <w:rFonts w:hint="default" w:ascii="Times New Roman" w:hAnsi="Times New Roman" w:cs="Times New Roman"/>
                    </w:rPr>
                  </w:pPr>
                  <w:r>
                    <w:rPr>
                      <w:rFonts w:hint="default" w:ascii="Times New Roman" w:hAnsi="Times New Roman" w:cs="Times New Roman"/>
                    </w:rPr>
                    <w:t>15、禁止新建、扩建不符合国家和省产业政策的尿素、磷铵、电石、烧碱、聚氯乙烯、纯碱等行业新增产能项目。</w:t>
                  </w:r>
                </w:p>
                <w:p w14:paraId="344A9DEC">
                  <w:pPr>
                    <w:pStyle w:val="20"/>
                    <w:widowControl/>
                    <w:spacing w:before="24" w:after="24"/>
                    <w:jc w:val="both"/>
                    <w:rPr>
                      <w:rFonts w:hint="default" w:ascii="Times New Roman" w:hAnsi="Times New Roman" w:cs="Times New Roman"/>
                    </w:rPr>
                  </w:pPr>
                  <w:r>
                    <w:rPr>
                      <w:rFonts w:hint="default" w:ascii="Times New Roman" w:hAnsi="Times New Roman" w:cs="Times New Roman"/>
                    </w:rPr>
                    <w:t>16、禁止新建、改建、扩建高毒、高残留以及对环境影响大的农药原药（化学合成类）项目，禁止新建、扩建不符合国家和省产业政策的农药、医药和染料中间体化工项目。</w:t>
                  </w:r>
                </w:p>
                <w:p w14:paraId="688670D4">
                  <w:pPr>
                    <w:pStyle w:val="20"/>
                    <w:widowControl/>
                    <w:spacing w:before="24" w:after="24"/>
                    <w:jc w:val="both"/>
                    <w:rPr>
                      <w:rFonts w:hint="default" w:ascii="Times New Roman" w:hAnsi="Times New Roman" w:cs="Times New Roman"/>
                    </w:rPr>
                  </w:pPr>
                  <w:r>
                    <w:rPr>
                      <w:rFonts w:hint="default" w:ascii="Times New Roman" w:hAnsi="Times New Roman" w:cs="Times New Roman"/>
                    </w:rPr>
                    <w:t>17、禁止新建、扩建不符合国家石化、现代煤化工等产业布局规划的项目，禁止新建独立焦化项目。</w:t>
                  </w:r>
                </w:p>
                <w:p w14:paraId="3CC7929F">
                  <w:pPr>
                    <w:pStyle w:val="20"/>
                    <w:widowControl/>
                    <w:spacing w:before="24" w:after="24"/>
                    <w:jc w:val="both"/>
                    <w:rPr>
                      <w:rFonts w:hint="default" w:ascii="Times New Roman" w:hAnsi="Times New Roman" w:cs="Times New Roman"/>
                    </w:rPr>
                  </w:pPr>
                  <w:r>
                    <w:rPr>
                      <w:rFonts w:hint="default" w:ascii="Times New Roman" w:hAnsi="Times New Roman" w:cs="Times New Roman"/>
                    </w:rPr>
                    <w:t>18、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p w14:paraId="35C4F016">
                  <w:pPr>
                    <w:pStyle w:val="20"/>
                    <w:widowControl/>
                    <w:spacing w:before="24" w:after="24"/>
                    <w:jc w:val="both"/>
                    <w:rPr>
                      <w:rFonts w:hint="default" w:ascii="Times New Roman" w:hAnsi="Times New Roman" w:cs="Times New Roman"/>
                    </w:rPr>
                  </w:pPr>
                  <w:r>
                    <w:rPr>
                      <w:rFonts w:hint="default" w:ascii="Times New Roman" w:hAnsi="Times New Roman" w:cs="Times New Roman"/>
                    </w:rPr>
                    <w:t>19、禁止新建、扩建不符合国家产能置换要求的严重过剩产能行业的项目。禁止新建、扩建不符合要求的高耗能高排放项目。</w:t>
                  </w:r>
                </w:p>
                <w:p w14:paraId="0FD12A0A">
                  <w:pPr>
                    <w:pStyle w:val="20"/>
                    <w:widowControl/>
                    <w:spacing w:before="24" w:after="24"/>
                    <w:jc w:val="both"/>
                    <w:rPr>
                      <w:rFonts w:hint="default" w:ascii="Times New Roman" w:hAnsi="Times New Roman" w:cs="Times New Roman"/>
                    </w:rPr>
                  </w:pPr>
                  <w:r>
                    <w:rPr>
                      <w:rFonts w:hint="default" w:ascii="Times New Roman" w:hAnsi="Times New Roman" w:cs="Times New Roman"/>
                    </w:rPr>
                    <w:t>20、法律法规及相关政策文件有更加严格规定的从其规定。</w:t>
                  </w:r>
                </w:p>
              </w:tc>
              <w:tc>
                <w:tcPr>
                  <w:tcW w:w="1108" w:type="pct"/>
                  <w:tcBorders>
                    <w:tl2br w:val="nil"/>
                    <w:tr2bl w:val="nil"/>
                  </w:tcBorders>
                  <w:vAlign w:val="center"/>
                </w:tcPr>
                <w:p w14:paraId="00FDB3D6">
                  <w:pPr>
                    <w:pStyle w:val="20"/>
                    <w:widowControl/>
                    <w:spacing w:before="24" w:after="24"/>
                    <w:rPr>
                      <w:rFonts w:hint="eastAsia" w:ascii="Times New Roman" w:hAnsi="Times New Roman" w:eastAsia="宋体" w:cs="Times New Roman"/>
                      <w:lang w:eastAsia="zh-CN"/>
                    </w:rPr>
                  </w:pPr>
                  <w:r>
                    <w:rPr>
                      <w:rFonts w:hint="default" w:ascii="Times New Roman" w:hAnsi="Times New Roman" w:cs="Times New Roman"/>
                    </w:rPr>
                    <w:t>本项目不属于文件中禁止的项目</w:t>
                  </w:r>
                  <w:r>
                    <w:rPr>
                      <w:rFonts w:hint="eastAsia" w:cs="Times New Roman"/>
                      <w:lang w:eastAsia="zh-CN"/>
                    </w:rPr>
                    <w:t>。</w:t>
                  </w:r>
                </w:p>
              </w:tc>
            </w:tr>
          </w:tbl>
          <w:p w14:paraId="7BF3762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4 \* GB3 \* MERGEFORMAT </w:instrText>
            </w:r>
            <w:r>
              <w:rPr>
                <w:rFonts w:hint="default" w:ascii="Times New Roman" w:hAnsi="Times New Roman" w:cs="Times New Roman"/>
                <w:sz w:val="24"/>
              </w:rPr>
              <w:fldChar w:fldCharType="separate"/>
            </w:r>
            <w:r>
              <w:rPr>
                <w:rFonts w:hint="default" w:ascii="Times New Roman" w:hAnsi="Times New Roman" w:cs="Times New Roman"/>
                <w:sz w:val="24"/>
              </w:rPr>
              <w:t>④</w:t>
            </w:r>
            <w:r>
              <w:rPr>
                <w:rFonts w:hint="default" w:ascii="Times New Roman" w:hAnsi="Times New Roman" w:cs="Times New Roman"/>
                <w:sz w:val="24"/>
              </w:rPr>
              <w:fldChar w:fldCharType="end"/>
            </w:r>
            <w:r>
              <w:rPr>
                <w:rFonts w:hint="default" w:ascii="Times New Roman" w:hAnsi="Times New Roman" w:cs="Times New Roman"/>
                <w:sz w:val="24"/>
              </w:rPr>
              <w:t>与《扬州经济技术开发区发展规划环境影响报告书》负面清单符合性分析</w:t>
            </w:r>
          </w:p>
          <w:p w14:paraId="77A9D45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eastAsia="宋体" w:cs="Times New Roman"/>
                <w:color w:val="auto"/>
                <w:sz w:val="24"/>
              </w:rPr>
              <w:t>本项目位于扬州经济技术开发区，对照《扬州经济技术开发区规划环境影响报告书》及其审查意见（环审[2019]148号）</w:t>
            </w:r>
            <w:r>
              <w:rPr>
                <w:rFonts w:hint="default" w:ascii="Times New Roman" w:hAnsi="Times New Roman" w:cs="Times New Roman"/>
                <w:sz w:val="24"/>
              </w:rPr>
              <w:t>。本项目属于新建光伏设备研发及制造项目，因此本项目不在禁止范围内，本项目与经开区报告书负面清单不冲突。</w:t>
            </w:r>
          </w:p>
          <w:p w14:paraId="338B3AA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综上所述，本项目的建设符合“三线一单”的管理要求。</w:t>
            </w:r>
          </w:p>
          <w:p w14:paraId="751EDB6C">
            <w:pPr>
              <w:numPr>
                <w:ilvl w:val="0"/>
                <w:numId w:val="2"/>
              </w:numPr>
              <w:autoSpaceDE w:val="0"/>
              <w:autoSpaceDN w:val="0"/>
              <w:adjustRightInd w:val="0"/>
              <w:snapToGrid w:val="0"/>
              <w:spacing w:line="360" w:lineRule="auto"/>
              <w:jc w:val="left"/>
              <w:rPr>
                <w:rFonts w:hint="default" w:ascii="Times New Roman" w:hAnsi="Times New Roman" w:cs="Times New Roman"/>
                <w:b/>
                <w:bCs/>
                <w:kern w:val="0"/>
                <w:sz w:val="24"/>
              </w:rPr>
            </w:pPr>
            <w:r>
              <w:rPr>
                <w:rFonts w:hint="default" w:ascii="Times New Roman" w:hAnsi="Times New Roman" w:cs="Times New Roman"/>
                <w:b/>
                <w:bCs/>
                <w:kern w:val="0"/>
                <w:sz w:val="24"/>
              </w:rPr>
              <w:t>与其他相关文件相符性分析</w:t>
            </w:r>
          </w:p>
          <w:p w14:paraId="64985603">
            <w:pPr>
              <w:spacing w:line="360" w:lineRule="auto"/>
              <w:ind w:firstLine="482" w:firstLineChars="200"/>
              <w:jc w:val="left"/>
              <w:rPr>
                <w:rFonts w:hint="eastAsia" w:cs="Times New Roman"/>
                <w:b/>
                <w:bCs/>
                <w:kern w:val="0"/>
                <w:sz w:val="24"/>
                <w:lang w:val="en-US" w:eastAsia="zh-CN" w:bidi="ar"/>
              </w:rPr>
            </w:pPr>
            <w:r>
              <w:rPr>
                <w:rFonts w:hint="default" w:ascii="Times New Roman" w:hAnsi="Times New Roman" w:cs="Times New Roman"/>
                <w:b/>
                <w:bCs/>
                <w:kern w:val="0"/>
                <w:sz w:val="24"/>
                <w:lang w:bidi="ar"/>
              </w:rPr>
              <w:t>（1）</w:t>
            </w:r>
            <w:r>
              <w:rPr>
                <w:rFonts w:hint="eastAsia" w:cs="Times New Roman"/>
                <w:b/>
                <w:bCs/>
                <w:kern w:val="0"/>
                <w:sz w:val="24"/>
                <w:lang w:val="en-US" w:eastAsia="zh-CN" w:bidi="ar"/>
              </w:rPr>
              <w:t>与产业政策相符性</w:t>
            </w:r>
          </w:p>
          <w:p w14:paraId="10E5462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1 \* GB3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①</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根据</w:t>
            </w:r>
            <w:r>
              <w:rPr>
                <w:rFonts w:hint="default" w:ascii="Times New Roman" w:hAnsi="Times New Roman" w:eastAsia="宋体" w:cs="Times New Roman"/>
                <w:color w:val="FF0000"/>
                <w:sz w:val="24"/>
              </w:rPr>
              <w:t>《国民经济行业分类与代码》（GB/T4754-2017</w:t>
            </w:r>
            <w:r>
              <w:rPr>
                <w:rFonts w:hint="eastAsia" w:cs="Times New Roman"/>
                <w:color w:val="FF0000"/>
                <w:sz w:val="24"/>
                <w:lang w:eastAsia="zh-CN"/>
              </w:rPr>
              <w:t>，</w:t>
            </w:r>
            <w:r>
              <w:rPr>
                <w:rFonts w:hint="eastAsia" w:cs="Times New Roman"/>
                <w:color w:val="FF0000"/>
                <w:sz w:val="24"/>
                <w:lang w:val="en-US" w:eastAsia="zh-CN"/>
              </w:rPr>
              <w:t>2019修订版</w:t>
            </w:r>
            <w:r>
              <w:rPr>
                <w:rFonts w:hint="default" w:ascii="Times New Roman" w:hAnsi="Times New Roman" w:eastAsia="宋体" w:cs="Times New Roman"/>
                <w:color w:val="FF0000"/>
                <w:sz w:val="24"/>
              </w:rPr>
              <w:t>）</w:t>
            </w:r>
            <w:r>
              <w:rPr>
                <w:rFonts w:hint="default" w:ascii="Times New Roman" w:hAnsi="Times New Roman" w:eastAsia="宋体" w:cs="Times New Roman"/>
                <w:color w:val="auto"/>
                <w:sz w:val="24"/>
              </w:rPr>
              <w:t>，本项目属于</w:t>
            </w:r>
            <w:r>
              <w:rPr>
                <w:rFonts w:hint="eastAsia" w:ascii="Times New Roman" w:hAnsi="Times New Roman" w:eastAsia="宋体" w:cs="Times New Roman"/>
                <w:color w:val="auto"/>
                <w:sz w:val="24"/>
                <w:lang w:eastAsia="zh-CN"/>
              </w:rPr>
              <w:t>C3</w:t>
            </w:r>
            <w:r>
              <w:rPr>
                <w:rFonts w:hint="eastAsia" w:cs="Times New Roman"/>
                <w:color w:val="auto"/>
                <w:sz w:val="24"/>
                <w:lang w:val="en-US" w:eastAsia="zh-CN"/>
              </w:rPr>
              <w:t>562</w:t>
            </w:r>
            <w:r>
              <w:rPr>
                <w:rFonts w:hint="eastAsia" w:ascii="Times New Roman" w:hAnsi="Times New Roman" w:eastAsia="宋体" w:cs="Times New Roman"/>
                <w:color w:val="auto"/>
                <w:sz w:val="24"/>
                <w:lang w:eastAsia="zh-CN"/>
              </w:rPr>
              <w:t xml:space="preserve"> </w:t>
            </w:r>
            <w:r>
              <w:rPr>
                <w:rFonts w:hint="eastAsia" w:cs="Times New Roman"/>
                <w:color w:val="auto"/>
                <w:sz w:val="24"/>
                <w:lang w:val="en-US" w:eastAsia="zh-CN"/>
              </w:rPr>
              <w:t>半导体器件专用设备制</w:t>
            </w:r>
            <w:r>
              <w:rPr>
                <w:rFonts w:hint="eastAsia" w:ascii="Times New Roman" w:hAnsi="Times New Roman" w:eastAsia="宋体" w:cs="Times New Roman"/>
                <w:color w:val="auto"/>
                <w:sz w:val="24"/>
                <w:lang w:eastAsia="zh-CN"/>
              </w:rPr>
              <w:t>造</w:t>
            </w:r>
            <w:r>
              <w:rPr>
                <w:rFonts w:hint="eastAsia" w:cs="Times New Roman"/>
                <w:color w:val="auto"/>
                <w:sz w:val="24"/>
                <w:lang w:eastAsia="zh-CN"/>
              </w:rPr>
              <w:t>、</w:t>
            </w:r>
            <w:r>
              <w:rPr>
                <w:rFonts w:hint="eastAsia" w:ascii="Times New Roman" w:hAnsi="Times New Roman" w:eastAsia="宋体" w:cs="Times New Roman"/>
                <w:color w:val="auto"/>
                <w:sz w:val="24"/>
                <w:lang w:eastAsia="zh-CN"/>
              </w:rPr>
              <w:t>M7320 工程和技术研究与试验发展</w:t>
            </w:r>
            <w:r>
              <w:rPr>
                <w:rFonts w:hint="default" w:ascii="Times New Roman" w:hAnsi="Times New Roman" w:eastAsia="宋体" w:cs="Times New Roman"/>
                <w:color w:val="auto"/>
                <w:sz w:val="24"/>
              </w:rPr>
              <w:t>，对照《产业结构调整指导目录（20</w:t>
            </w:r>
            <w:r>
              <w:rPr>
                <w:rFonts w:hint="eastAsia"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年本）》（国家发展改革委第29号令）中淘汰和限制项目，本项目不属于限制类和淘汰类，符合国家和地方产业政策。</w:t>
            </w:r>
          </w:p>
          <w:p w14:paraId="6EF2EBD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2 \* GB3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②</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本项目不属于《限制用地项目目录（2012年本）》、《禁止用地项目目录（2012年本）》、《江苏省限制用地项目目录（2013年本）》和《江苏省禁止用地项目目录（2013年本）》、《环境保护综合名录》（2021版）中的建设项目。</w:t>
            </w:r>
          </w:p>
          <w:p w14:paraId="6021F909">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③本项目不属于《江苏省产业结构调整限制、淘汰和禁止目录(2018年)》中限制类、淘汰类和禁止类项目。</w:t>
            </w:r>
          </w:p>
          <w:p w14:paraId="50B7E71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④本项目亦不属于其它相关法律法规要求淘汰和限制的产业。</w:t>
            </w:r>
          </w:p>
          <w:p w14:paraId="6FC7379D">
            <w:pPr>
              <w:adjustRightInd w:val="0"/>
              <w:spacing w:line="360" w:lineRule="auto"/>
              <w:ind w:firstLine="480" w:firstLineChars="200"/>
              <w:textAlignment w:val="baseline"/>
              <w:rPr>
                <w:rFonts w:hint="default" w:ascii="Times New Roman" w:hAnsi="Times New Roman" w:eastAsia="宋体" w:cs="Times New Roman"/>
                <w:b/>
                <w:bCs/>
                <w:color w:val="auto"/>
                <w:sz w:val="24"/>
                <w:lang w:val="zh-CN" w:bidi="zh-CN"/>
              </w:rPr>
            </w:pPr>
            <w:r>
              <w:rPr>
                <w:rFonts w:hint="default" w:ascii="Times New Roman" w:hAnsi="Times New Roman" w:eastAsia="宋体" w:cs="Times New Roman"/>
                <w:color w:val="auto"/>
                <w:sz w:val="24"/>
              </w:rPr>
              <w:t>综上，本项目符合国家和地方产业政策。</w:t>
            </w:r>
          </w:p>
          <w:p w14:paraId="4F953E58">
            <w:pPr>
              <w:spacing w:line="360" w:lineRule="auto"/>
              <w:ind w:firstLine="482" w:firstLineChars="200"/>
              <w:jc w:val="left"/>
              <w:rPr>
                <w:rFonts w:hint="default" w:ascii="Times New Roman" w:hAnsi="Times New Roman" w:cs="Times New Roman"/>
                <w:b/>
                <w:bCs/>
                <w:kern w:val="0"/>
                <w:sz w:val="24"/>
                <w:lang w:bidi="ar"/>
              </w:rPr>
            </w:pPr>
            <w:r>
              <w:rPr>
                <w:rFonts w:hint="default" w:ascii="Times New Roman" w:hAnsi="Times New Roman" w:cs="Times New Roman"/>
                <w:b/>
                <w:bCs/>
                <w:kern w:val="0"/>
                <w:sz w:val="24"/>
                <w:lang w:bidi="ar"/>
              </w:rPr>
              <w:t>（</w:t>
            </w:r>
            <w:r>
              <w:rPr>
                <w:rFonts w:hint="eastAsia" w:cs="Times New Roman"/>
                <w:b/>
                <w:bCs/>
                <w:kern w:val="0"/>
                <w:sz w:val="24"/>
                <w:lang w:val="en-US" w:eastAsia="zh-CN" w:bidi="ar"/>
              </w:rPr>
              <w:t>2</w:t>
            </w:r>
            <w:r>
              <w:rPr>
                <w:rFonts w:hint="default" w:ascii="Times New Roman" w:hAnsi="Times New Roman" w:cs="Times New Roman"/>
                <w:b/>
                <w:bCs/>
                <w:kern w:val="0"/>
                <w:sz w:val="24"/>
                <w:lang w:bidi="ar"/>
              </w:rPr>
              <w:t>）与《挥发性有机物无组织排放控制标准》（GB38822-2019）相符性分析</w:t>
            </w:r>
          </w:p>
          <w:p w14:paraId="688F6797">
            <w:pPr>
              <w:spacing w:line="360" w:lineRule="auto"/>
              <w:ind w:firstLine="480" w:firstLineChars="200"/>
              <w:jc w:val="left"/>
              <w:rPr>
                <w:rFonts w:hint="default" w:ascii="Times New Roman" w:hAnsi="Times New Roman" w:cs="Times New Roman"/>
                <w:kern w:val="0"/>
                <w:sz w:val="24"/>
                <w:lang w:bidi="ar"/>
              </w:rPr>
            </w:pPr>
            <w:r>
              <w:rPr>
                <w:rFonts w:hint="default" w:ascii="Times New Roman" w:hAnsi="Times New Roman" w:cs="Times New Roman"/>
                <w:kern w:val="0"/>
                <w:sz w:val="24"/>
                <w:lang w:bidi="ar"/>
              </w:rPr>
              <w:t>根据《挥发性有机物无组织排放控制标准》（GB38822-2019）要求，“VOCs质量占比大于或等于10%的含VOCs的产品，其使用过程应采用密闭设备或在密闭空间内操作，废气应排至VOCs废气收集处理系统；无法密闭的，应采取局部气体收集措施，废气应排至VOCs废气收集处理系统”。本项目研发实验室工序均在密闭设备内进行，加装抽风管道对废气进行收集，产生的非甲烷总烃经</w:t>
            </w:r>
            <w:r>
              <w:rPr>
                <w:rFonts w:hint="eastAsia" w:cs="Times New Roman"/>
                <w:kern w:val="0"/>
                <w:sz w:val="24"/>
                <w:lang w:val="en-US" w:eastAsia="zh-CN" w:bidi="ar"/>
              </w:rPr>
              <w:t>密闭管道</w:t>
            </w:r>
            <w:r>
              <w:rPr>
                <w:rFonts w:hint="default" w:ascii="Times New Roman" w:hAnsi="Times New Roman" w:cs="Times New Roman"/>
                <w:kern w:val="0"/>
                <w:sz w:val="24"/>
                <w:lang w:bidi="ar"/>
              </w:rPr>
              <w:t>收集，通过二级活性炭吸附装置处理后</w:t>
            </w:r>
            <w:r>
              <w:rPr>
                <w:rFonts w:hint="eastAsia" w:cs="Times New Roman"/>
                <w:kern w:val="0"/>
                <w:sz w:val="24"/>
                <w:lang w:val="en-US" w:eastAsia="zh-CN" w:bidi="ar"/>
              </w:rPr>
              <w:t>经</w:t>
            </w:r>
            <w:r>
              <w:rPr>
                <w:rFonts w:hint="default" w:ascii="Times New Roman" w:hAnsi="Times New Roman" w:cs="Times New Roman"/>
                <w:kern w:val="0"/>
                <w:sz w:val="24"/>
                <w:lang w:bidi="ar"/>
              </w:rPr>
              <w:t>排气筒达标排放。</w:t>
            </w:r>
          </w:p>
          <w:p w14:paraId="628CB096">
            <w:pPr>
              <w:spacing w:line="360" w:lineRule="auto"/>
              <w:ind w:firstLine="480" w:firstLineChars="200"/>
              <w:jc w:val="left"/>
              <w:rPr>
                <w:rFonts w:hint="default" w:ascii="Times New Roman" w:hAnsi="Times New Roman" w:cs="Times New Roman"/>
                <w:kern w:val="0"/>
                <w:sz w:val="24"/>
                <w:lang w:bidi="ar"/>
              </w:rPr>
            </w:pPr>
            <w:r>
              <w:rPr>
                <w:rFonts w:hint="default" w:ascii="Times New Roman" w:hAnsi="Times New Roman" w:cs="Times New Roman"/>
                <w:kern w:val="0"/>
                <w:sz w:val="24"/>
                <w:lang w:bidi="ar"/>
              </w:rPr>
              <w:t>因此本项目符合文件要求。</w:t>
            </w:r>
          </w:p>
          <w:p w14:paraId="0FE4DC4F">
            <w:pPr>
              <w:widowControl/>
              <w:spacing w:line="360" w:lineRule="auto"/>
              <w:ind w:firstLine="482" w:firstLineChars="200"/>
              <w:jc w:val="left"/>
              <w:rPr>
                <w:rFonts w:hint="default" w:ascii="Times New Roman" w:hAnsi="Times New Roman" w:cs="Times New Roman"/>
                <w:b/>
                <w:bCs/>
                <w:kern w:val="0"/>
                <w:sz w:val="24"/>
                <w:lang w:bidi="ar"/>
              </w:rPr>
            </w:pPr>
            <w:r>
              <w:rPr>
                <w:rFonts w:hint="default" w:ascii="Times New Roman" w:hAnsi="Times New Roman" w:cs="Times New Roman"/>
                <w:b/>
                <w:bCs/>
                <w:kern w:val="0"/>
                <w:sz w:val="24"/>
                <w:lang w:bidi="ar"/>
              </w:rPr>
              <w:t>（</w:t>
            </w:r>
            <w:r>
              <w:rPr>
                <w:rFonts w:hint="eastAsia" w:cs="Times New Roman"/>
                <w:b/>
                <w:bCs/>
                <w:kern w:val="0"/>
                <w:sz w:val="24"/>
                <w:lang w:val="en-US" w:eastAsia="zh-CN" w:bidi="ar"/>
              </w:rPr>
              <w:t>3</w:t>
            </w:r>
            <w:r>
              <w:rPr>
                <w:rFonts w:hint="default" w:ascii="Times New Roman" w:hAnsi="Times New Roman" w:cs="Times New Roman"/>
                <w:b/>
                <w:bCs/>
                <w:kern w:val="0"/>
                <w:sz w:val="24"/>
                <w:lang w:bidi="ar"/>
              </w:rPr>
              <w:t>）与《2020年挥发性有机物治理攻坚方案》的相符性分析</w:t>
            </w:r>
          </w:p>
          <w:p w14:paraId="44F5BE13">
            <w:pPr>
              <w:pStyle w:val="28"/>
              <w:rPr>
                <w:rFonts w:hint="default" w:ascii="Times New Roman" w:hAnsi="Times New Roman" w:cs="Times New Roman"/>
                <w:sz w:val="22"/>
                <w:szCs w:val="28"/>
              </w:rPr>
            </w:pPr>
            <w:r>
              <w:rPr>
                <w:rFonts w:hint="default" w:ascii="Times New Roman" w:hAnsi="Times New Roman" w:cs="Times New Roman"/>
                <w:sz w:val="22"/>
                <w:szCs w:val="28"/>
              </w:rPr>
              <w:t>表1-5  与《2020年挥发性有机物治理攻坚方案》的相符性分析</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76"/>
              <w:gridCol w:w="5926"/>
              <w:gridCol w:w="1047"/>
              <w:gridCol w:w="561"/>
            </w:tblGrid>
            <w:tr w14:paraId="1B4C3F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6" w:hRule="atLeast"/>
                <w:jc w:val="center"/>
              </w:trPr>
              <w:tc>
                <w:tcPr>
                  <w:tcW w:w="355" w:type="pct"/>
                  <w:vAlign w:val="center"/>
                </w:tcPr>
                <w:p w14:paraId="7010D332">
                  <w:pPr>
                    <w:pStyle w:val="20"/>
                    <w:spacing w:before="24" w:after="24"/>
                    <w:rPr>
                      <w:rFonts w:hint="default" w:ascii="Times New Roman" w:hAnsi="Times New Roman" w:cs="Times New Roman"/>
                    </w:rPr>
                  </w:pPr>
                  <w:bookmarkStart w:id="22" w:name="_Hlk52197407"/>
                  <w:r>
                    <w:rPr>
                      <w:rFonts w:hint="default" w:ascii="Times New Roman" w:hAnsi="Times New Roman" w:cs="Times New Roman"/>
                    </w:rPr>
                    <w:t>工作目标</w:t>
                  </w:r>
                </w:p>
              </w:tc>
              <w:tc>
                <w:tcPr>
                  <w:tcW w:w="3653" w:type="pct"/>
                  <w:vAlign w:val="center"/>
                </w:tcPr>
                <w:p w14:paraId="30C9CFA8">
                  <w:pPr>
                    <w:pStyle w:val="20"/>
                    <w:spacing w:before="24" w:after="24"/>
                    <w:rPr>
                      <w:rFonts w:hint="default" w:ascii="Times New Roman" w:hAnsi="Times New Roman" w:cs="Times New Roman"/>
                    </w:rPr>
                  </w:pPr>
                  <w:r>
                    <w:rPr>
                      <w:rFonts w:hint="default" w:ascii="Times New Roman" w:hAnsi="Times New Roman" w:cs="Times New Roman"/>
                    </w:rPr>
                    <w:t>具体要求</w:t>
                  </w:r>
                </w:p>
              </w:tc>
              <w:tc>
                <w:tcPr>
                  <w:tcW w:w="645" w:type="pct"/>
                  <w:vAlign w:val="center"/>
                </w:tcPr>
                <w:p w14:paraId="59B67B53">
                  <w:pPr>
                    <w:pStyle w:val="20"/>
                    <w:spacing w:before="24" w:after="24"/>
                    <w:rPr>
                      <w:rFonts w:hint="default" w:ascii="Times New Roman" w:hAnsi="Times New Roman" w:cs="Times New Roman"/>
                    </w:rPr>
                  </w:pPr>
                  <w:r>
                    <w:rPr>
                      <w:rFonts w:hint="default" w:ascii="Times New Roman" w:hAnsi="Times New Roman" w:cs="Times New Roman"/>
                    </w:rPr>
                    <w:t>本项目</w:t>
                  </w:r>
                </w:p>
                <w:p w14:paraId="44F8649F">
                  <w:pPr>
                    <w:pStyle w:val="20"/>
                    <w:spacing w:before="24" w:after="24"/>
                    <w:rPr>
                      <w:rFonts w:hint="default" w:ascii="Times New Roman" w:hAnsi="Times New Roman" w:cs="Times New Roman"/>
                    </w:rPr>
                  </w:pPr>
                  <w:r>
                    <w:rPr>
                      <w:rFonts w:hint="default" w:ascii="Times New Roman" w:hAnsi="Times New Roman" w:cs="Times New Roman"/>
                    </w:rPr>
                    <w:t>情况</w:t>
                  </w:r>
                </w:p>
              </w:tc>
              <w:tc>
                <w:tcPr>
                  <w:tcW w:w="345" w:type="pct"/>
                  <w:vAlign w:val="center"/>
                </w:tcPr>
                <w:p w14:paraId="63CD423A">
                  <w:pPr>
                    <w:pStyle w:val="20"/>
                    <w:spacing w:before="24" w:after="24"/>
                    <w:rPr>
                      <w:rFonts w:hint="default" w:ascii="Times New Roman" w:hAnsi="Times New Roman" w:cs="Times New Roman"/>
                    </w:rPr>
                  </w:pPr>
                  <w:r>
                    <w:rPr>
                      <w:rFonts w:hint="default" w:ascii="Times New Roman" w:hAnsi="Times New Roman" w:cs="Times New Roman"/>
                    </w:rPr>
                    <w:t>相符性</w:t>
                  </w:r>
                </w:p>
              </w:tc>
            </w:tr>
            <w:tr w14:paraId="4AAC6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64" w:hRule="atLeast"/>
                <w:jc w:val="center"/>
              </w:trPr>
              <w:tc>
                <w:tcPr>
                  <w:tcW w:w="355" w:type="pct"/>
                  <w:vAlign w:val="center"/>
                </w:tcPr>
                <w:p w14:paraId="0E6C85E7">
                  <w:pPr>
                    <w:pStyle w:val="20"/>
                    <w:spacing w:before="24" w:after="24"/>
                    <w:rPr>
                      <w:rFonts w:hint="default" w:ascii="Times New Roman" w:hAnsi="Times New Roman" w:cs="Times New Roman"/>
                    </w:rPr>
                  </w:pPr>
                  <w:r>
                    <w:rPr>
                      <w:rFonts w:hint="default" w:ascii="Times New Roman" w:hAnsi="Times New Roman" w:cs="Times New Roman"/>
                    </w:rPr>
                    <w:t>一、大力推进源头替代，有效减少VOCs产生</w:t>
                  </w:r>
                </w:p>
              </w:tc>
              <w:tc>
                <w:tcPr>
                  <w:tcW w:w="3653" w:type="pct"/>
                  <w:vAlign w:val="center"/>
                </w:tcPr>
                <w:p w14:paraId="7B490928">
                  <w:pPr>
                    <w:pStyle w:val="20"/>
                    <w:spacing w:before="24" w:after="24"/>
                    <w:rPr>
                      <w:rFonts w:hint="default" w:ascii="Times New Roman" w:hAnsi="Times New Roman" w:cs="Times New Roman"/>
                    </w:rPr>
                  </w:pPr>
                  <w:r>
                    <w:rPr>
                      <w:rFonts w:hint="default" w:ascii="Times New Roman" w:hAnsi="Times New Roman" w:cs="Times New Roman"/>
                    </w:rPr>
                    <w:t>严格落实国家和地方产品VOCs含量限值标准。2020年7月1日起，船舶涂料和地坪涂料生产、销售和使用应满足新颁布实施的国家产品有害物质限量标准要求。大力推进低（无）VOCs含量原辅材料替代。将全面使用符合国家要求的低VOCs含量原辅材料的企业纳入正面清单和政府绿色采购清单。采用符合国家有关低VOCs含量产品规定的涂料、油墨、胶粘剂等，排放浓度稳定达标且排放速率满足相关规定的，相应生产工序可不要求建设末端治理设施。使用的原辅材料VOCs含量（质量比）均低于10%的工序，可不要求采取无组织排放收集和处理措施。家具、印刷等政府定点招标采购企业优先使用低挥发性原辅材料，鼓励汽车维修等政府定点招标采购企业使用低挥发性原辅材料；将VOCs含量产品纳入政府采购名录，并在政府投资项目中优先使用；引导将使用低VOCs含量涂料、胶粘剂等纳入政府采购装修合同环保条款。</w:t>
                  </w:r>
                </w:p>
              </w:tc>
              <w:tc>
                <w:tcPr>
                  <w:tcW w:w="645" w:type="pct"/>
                  <w:vAlign w:val="center"/>
                </w:tcPr>
                <w:p w14:paraId="1B3A4552">
                  <w:pPr>
                    <w:pStyle w:val="20"/>
                    <w:spacing w:before="24" w:after="24"/>
                    <w:rPr>
                      <w:rFonts w:hint="default" w:ascii="Times New Roman" w:hAnsi="Times New Roman" w:cs="Times New Roman"/>
                    </w:rPr>
                  </w:pPr>
                  <w:r>
                    <w:rPr>
                      <w:rFonts w:hint="default" w:ascii="Times New Roman" w:hAnsi="Times New Roman" w:cs="Times New Roman"/>
                      <w:color w:val="auto"/>
                    </w:rPr>
                    <w:t>本项目不涉及涂料、油墨、胶粘剂等。</w:t>
                  </w:r>
                </w:p>
              </w:tc>
              <w:tc>
                <w:tcPr>
                  <w:tcW w:w="345" w:type="pct"/>
                  <w:vAlign w:val="center"/>
                </w:tcPr>
                <w:p w14:paraId="4FC93F31">
                  <w:pPr>
                    <w:pStyle w:val="20"/>
                    <w:spacing w:before="24" w:after="24"/>
                    <w:rPr>
                      <w:rFonts w:hint="default" w:ascii="Times New Roman" w:hAnsi="Times New Roman" w:cs="Times New Roman"/>
                    </w:rPr>
                  </w:pPr>
                  <w:r>
                    <w:rPr>
                      <w:rFonts w:hint="default" w:ascii="Times New Roman" w:hAnsi="Times New Roman" w:cs="Times New Roman"/>
                    </w:rPr>
                    <w:t>符合</w:t>
                  </w:r>
                </w:p>
              </w:tc>
            </w:tr>
            <w:tr w14:paraId="635D38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355" w:type="pct"/>
                  <w:vAlign w:val="center"/>
                </w:tcPr>
                <w:p w14:paraId="7BA8DA0F">
                  <w:pPr>
                    <w:pStyle w:val="20"/>
                    <w:spacing w:before="24" w:after="24"/>
                    <w:rPr>
                      <w:rFonts w:hint="default" w:ascii="Times New Roman" w:hAnsi="Times New Roman" w:cs="Times New Roman"/>
                    </w:rPr>
                  </w:pPr>
                  <w:r>
                    <w:rPr>
                      <w:rFonts w:hint="default" w:ascii="Times New Roman" w:hAnsi="Times New Roman" w:cs="Times New Roman"/>
                    </w:rPr>
                    <w:t>二、全面落实标准要求，强化无组织排放控制</w:t>
                  </w:r>
                </w:p>
              </w:tc>
              <w:tc>
                <w:tcPr>
                  <w:tcW w:w="3653" w:type="pct"/>
                  <w:vAlign w:val="center"/>
                </w:tcPr>
                <w:p w14:paraId="0C6050AF">
                  <w:pPr>
                    <w:pStyle w:val="20"/>
                    <w:spacing w:before="24" w:after="24"/>
                    <w:rPr>
                      <w:rFonts w:hint="default" w:ascii="Times New Roman" w:hAnsi="Times New Roman" w:cs="Times New Roman"/>
                    </w:rPr>
                  </w:pPr>
                  <w:r>
                    <w:rPr>
                      <w:rFonts w:hint="default" w:ascii="Times New Roman" w:hAnsi="Times New Roman" w:cs="Times New Roman"/>
                    </w:rPr>
                    <w:t>2020年7月1日起，全面执行《挥发性有机物无组织排放控制标准》，重点区域应落实无组织排放特别控制要求。企业在无组织排放排查整治过程中，在保证安全的前提下，加强含VOCs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w:t>
                  </w:r>
                </w:p>
              </w:tc>
              <w:tc>
                <w:tcPr>
                  <w:tcW w:w="645" w:type="pct"/>
                  <w:vAlign w:val="center"/>
                </w:tcPr>
                <w:p w14:paraId="1377AC44">
                  <w:pPr>
                    <w:pStyle w:val="20"/>
                    <w:spacing w:before="24" w:after="24"/>
                    <w:rPr>
                      <w:rFonts w:hint="default" w:ascii="Times New Roman" w:hAnsi="Times New Roman" w:cs="Times New Roman"/>
                    </w:rPr>
                  </w:pPr>
                  <w:r>
                    <w:rPr>
                      <w:rFonts w:hint="default" w:ascii="Times New Roman" w:hAnsi="Times New Roman" w:cs="Times New Roman"/>
                    </w:rPr>
                    <w:t>本项目研发过程在封闭的设备</w:t>
                  </w:r>
                  <w:r>
                    <w:rPr>
                      <w:rFonts w:hint="eastAsia" w:cs="Times New Roman"/>
                      <w:lang w:val="en-US" w:eastAsia="zh-CN"/>
                    </w:rPr>
                    <w:t>中</w:t>
                  </w:r>
                  <w:r>
                    <w:rPr>
                      <w:rFonts w:hint="default" w:ascii="Times New Roman" w:hAnsi="Times New Roman" w:cs="Times New Roman"/>
                    </w:rPr>
                    <w:t>进行，符合《挥发性有机物无组织排放控制标准》控制要求。</w:t>
                  </w:r>
                </w:p>
              </w:tc>
              <w:tc>
                <w:tcPr>
                  <w:tcW w:w="345" w:type="pct"/>
                  <w:vAlign w:val="center"/>
                </w:tcPr>
                <w:p w14:paraId="4CC92B5B">
                  <w:pPr>
                    <w:pStyle w:val="20"/>
                    <w:spacing w:before="24" w:after="24"/>
                    <w:rPr>
                      <w:rFonts w:hint="default" w:ascii="Times New Roman" w:hAnsi="Times New Roman" w:cs="Times New Roman"/>
                    </w:rPr>
                  </w:pPr>
                  <w:r>
                    <w:rPr>
                      <w:rFonts w:hint="default" w:ascii="Times New Roman" w:hAnsi="Times New Roman" w:cs="Times New Roman"/>
                    </w:rPr>
                    <w:t>符合</w:t>
                  </w:r>
                </w:p>
              </w:tc>
            </w:tr>
            <w:bookmarkEnd w:id="22"/>
          </w:tbl>
          <w:p w14:paraId="041497B1">
            <w:pPr>
              <w:widowControl/>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根据上表对比分析可知，本项目符合《2020年挥发性有机物治理攻坚方案》的要求。</w:t>
            </w:r>
          </w:p>
          <w:p w14:paraId="39CA35B4">
            <w:pPr>
              <w:pStyle w:val="29"/>
              <w:spacing w:line="360" w:lineRule="auto"/>
              <w:ind w:firstLine="241" w:firstLineChars="100"/>
              <w:rPr>
                <w:rFonts w:hint="default" w:ascii="Times New Roman" w:hAnsi="Times New Roman" w:cs="Times New Roman"/>
                <w:b/>
                <w:bCs/>
                <w:kern w:val="0"/>
                <w:sz w:val="24"/>
                <w:szCs w:val="24"/>
                <w:lang w:bidi="ar"/>
              </w:rPr>
            </w:pPr>
            <w:r>
              <w:rPr>
                <w:rFonts w:hint="default" w:ascii="Times New Roman" w:hAnsi="Times New Roman" w:cs="Times New Roman"/>
                <w:b/>
                <w:bCs/>
                <w:kern w:val="0"/>
                <w:sz w:val="24"/>
                <w:szCs w:val="24"/>
                <w:lang w:bidi="ar"/>
              </w:rPr>
              <w:t>（</w:t>
            </w:r>
            <w:r>
              <w:rPr>
                <w:rFonts w:hint="eastAsia" w:cs="Times New Roman"/>
                <w:b/>
                <w:bCs/>
                <w:kern w:val="0"/>
                <w:sz w:val="24"/>
                <w:szCs w:val="24"/>
                <w:lang w:val="en-US" w:eastAsia="zh-CN" w:bidi="ar"/>
              </w:rPr>
              <w:t>4</w:t>
            </w:r>
            <w:r>
              <w:rPr>
                <w:rFonts w:hint="default" w:ascii="Times New Roman" w:hAnsi="Times New Roman" w:cs="Times New Roman"/>
                <w:b/>
                <w:bCs/>
                <w:kern w:val="0"/>
                <w:sz w:val="24"/>
                <w:szCs w:val="24"/>
                <w:lang w:bidi="ar"/>
              </w:rPr>
              <w:t>）本项目与省大气办关于印发《江苏省挥发性有机物清洁原料替代工作方案》的通知（苏大气办[2021]2号）相符性分析</w:t>
            </w:r>
          </w:p>
          <w:p w14:paraId="69045B0B">
            <w:pPr>
              <w:widowControl/>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根据《江苏省挥发性有机物清洁原料替代工作方案》提出的替代要求；以工业涂装、包装印刷、木材加工、纺织等行业为重点，分阶段推进企业清洁原料替代工作。实施替代的企业要使用符合《低挥发性有机化合物含量涂料产品技术要求》（GB/T38597-2020）规定的粉末、水性、无溶剂、辐射固化涂料产品；符合《油墨中可挥发性有机化合物（VOCs）含量的限值》（GB38507-2020）规定的水性油墨和能量固化油墨产品；符合《清洗剂挥发性有机化合物含量限值》（GB38508-2020）规定的水基、半水基清洗剂产品；符合《胶粘剂挥发性有机化合物限量》（GB33372-2020）规定的水基型、本体型胶粘剂产品，若确实无法达到上述要求，应提供相应的论证说明，相关材料、油墨、清洗剂、胶粘剂等产品应符合相关标准中VOCs含量的限值要求。</w:t>
            </w:r>
          </w:p>
          <w:p w14:paraId="509A4142">
            <w:pPr>
              <w:pStyle w:val="29"/>
              <w:spacing w:line="360" w:lineRule="auto"/>
              <w:ind w:firstLine="480"/>
              <w:rPr>
                <w:rFonts w:hint="default" w:ascii="Times New Roman" w:hAnsi="Times New Roman" w:eastAsia="宋体" w:cs="Times New Roman"/>
                <w:sz w:val="24"/>
                <w:lang w:eastAsia="zh-CN"/>
              </w:rPr>
            </w:pPr>
            <w:r>
              <w:rPr>
                <w:rFonts w:hint="default" w:ascii="Times New Roman" w:hAnsi="Times New Roman" w:cs="Times New Roman"/>
                <w:sz w:val="24"/>
              </w:rPr>
              <w:t>本项目为新建光伏智能装备研发及制造项目，不属于上述行业，项目实验室使用清洗剂清洗玻璃</w:t>
            </w:r>
            <w:r>
              <w:rPr>
                <w:rFonts w:hint="eastAsia" w:cs="Times New Roman"/>
                <w:sz w:val="24"/>
                <w:lang w:eastAsia="zh-CN"/>
              </w:rPr>
              <w:t>，</w:t>
            </w:r>
            <w:r>
              <w:rPr>
                <w:rFonts w:hint="default" w:ascii="Times New Roman" w:hAnsi="Times New Roman" w:cs="Times New Roman"/>
                <w:sz w:val="24"/>
                <w:szCs w:val="24"/>
              </w:rPr>
              <w:t>根据</w:t>
            </w:r>
            <w:r>
              <w:rPr>
                <w:rFonts w:hint="eastAsia" w:cs="Times New Roman"/>
                <w:sz w:val="24"/>
                <w:szCs w:val="24"/>
                <w:lang w:val="en-US" w:eastAsia="zh-CN"/>
              </w:rPr>
              <w:t>企业提供的检测报告</w:t>
            </w:r>
            <w:r>
              <w:rPr>
                <w:rFonts w:hint="default" w:ascii="Times New Roman" w:hAnsi="Times New Roman" w:cs="Times New Roman"/>
                <w:sz w:val="24"/>
                <w:szCs w:val="24"/>
              </w:rPr>
              <w:t>（报告编号：BPDDR42K600705R9），清洗剂的VOCs含量为4.63≤50</w:t>
            </w:r>
            <w:r>
              <w:rPr>
                <w:rFonts w:hint="eastAsia"/>
                <w:lang w:val="en-US" w:eastAsia="zh-CN"/>
              </w:rPr>
              <w:t>g/L</w:t>
            </w:r>
            <w:r>
              <w:rPr>
                <w:rFonts w:hint="default" w:ascii="Times New Roman" w:hAnsi="Times New Roman" w:cs="Times New Roman"/>
                <w:sz w:val="24"/>
                <w:szCs w:val="24"/>
              </w:rPr>
              <w:t>，满足</w:t>
            </w:r>
            <w:r>
              <w:rPr>
                <w:rFonts w:hint="default" w:ascii="Times New Roman" w:hAnsi="Times New Roman" w:cs="Times New Roman"/>
                <w:sz w:val="24"/>
              </w:rPr>
              <w:t>《清洗剂挥发性有机化合物含量限值》（GB38508-2020）</w:t>
            </w:r>
            <w:r>
              <w:rPr>
                <w:rFonts w:hint="default" w:ascii="Times New Roman" w:hAnsi="Times New Roman" w:cs="Times New Roman"/>
                <w:sz w:val="24"/>
                <w:szCs w:val="24"/>
              </w:rPr>
              <w:t>水基型清洗剂</w:t>
            </w:r>
            <w:r>
              <w:rPr>
                <w:rFonts w:hint="eastAsia" w:cs="Times New Roman"/>
                <w:sz w:val="24"/>
                <w:szCs w:val="24"/>
                <w:lang w:val="en-US" w:eastAsia="zh-CN"/>
              </w:rPr>
              <w:t>的要求</w:t>
            </w:r>
            <w:r>
              <w:rPr>
                <w:rFonts w:hint="eastAsia" w:cs="Times New Roman"/>
                <w:sz w:val="24"/>
                <w:szCs w:val="24"/>
                <w:lang w:eastAsia="zh-CN"/>
              </w:rPr>
              <w:t>，</w:t>
            </w:r>
            <w:r>
              <w:rPr>
                <w:rFonts w:hint="default" w:ascii="Times New Roman" w:hAnsi="Times New Roman" w:cs="Times New Roman"/>
                <w:sz w:val="24"/>
              </w:rPr>
              <w:t>符合《江苏省挥发性有机物清洁原料替代工作方案》的通知（苏大气办[2021]2号）文件的要求</w:t>
            </w:r>
            <w:r>
              <w:rPr>
                <w:rFonts w:hint="default" w:ascii="Times New Roman" w:hAnsi="Times New Roman" w:cs="Times New Roman"/>
                <w:sz w:val="24"/>
                <w:lang w:eastAsia="zh-CN"/>
              </w:rPr>
              <w:t>。</w:t>
            </w:r>
          </w:p>
          <w:p w14:paraId="7C8C330B">
            <w:pPr>
              <w:rPr>
                <w:rFonts w:hint="default" w:ascii="Times New Roman" w:hAnsi="Times New Roman" w:cs="Times New Roman"/>
              </w:rPr>
            </w:pPr>
          </w:p>
          <w:p w14:paraId="17AE5ED7">
            <w:pPr>
              <w:rPr>
                <w:rFonts w:hint="default" w:ascii="Times New Roman" w:hAnsi="Times New Roman" w:cs="Times New Roman"/>
              </w:rPr>
            </w:pPr>
          </w:p>
          <w:p w14:paraId="3E7D7B5F">
            <w:pPr>
              <w:rPr>
                <w:rFonts w:hint="default" w:ascii="Times New Roman" w:hAnsi="Times New Roman" w:cs="Times New Roman"/>
              </w:rPr>
            </w:pPr>
          </w:p>
          <w:p w14:paraId="211D0705">
            <w:pPr>
              <w:rPr>
                <w:rFonts w:hint="default" w:ascii="Times New Roman" w:hAnsi="Times New Roman" w:cs="Times New Roman"/>
              </w:rPr>
            </w:pPr>
          </w:p>
          <w:p w14:paraId="0FFD9719">
            <w:pPr>
              <w:rPr>
                <w:rFonts w:hint="default" w:ascii="Times New Roman" w:hAnsi="Times New Roman" w:cs="Times New Roman"/>
              </w:rPr>
            </w:pPr>
          </w:p>
          <w:p w14:paraId="6CE342DD">
            <w:pPr>
              <w:rPr>
                <w:rFonts w:hint="default" w:ascii="Times New Roman" w:hAnsi="Times New Roman" w:cs="Times New Roman"/>
              </w:rPr>
            </w:pPr>
          </w:p>
          <w:p w14:paraId="649C72AF">
            <w:pPr>
              <w:rPr>
                <w:rFonts w:hint="default" w:ascii="Times New Roman" w:hAnsi="Times New Roman" w:cs="Times New Roman"/>
              </w:rPr>
            </w:pPr>
          </w:p>
          <w:p w14:paraId="563C851D">
            <w:pPr>
              <w:rPr>
                <w:rFonts w:hint="default" w:ascii="Times New Roman" w:hAnsi="Times New Roman" w:cs="Times New Roman"/>
              </w:rPr>
            </w:pPr>
          </w:p>
          <w:p w14:paraId="799C1EE8">
            <w:pPr>
              <w:rPr>
                <w:rFonts w:hint="default" w:ascii="Times New Roman" w:hAnsi="Times New Roman" w:cs="Times New Roman"/>
              </w:rPr>
            </w:pPr>
          </w:p>
          <w:p w14:paraId="538C47BA">
            <w:pPr>
              <w:rPr>
                <w:rFonts w:hint="default" w:ascii="Times New Roman" w:hAnsi="Times New Roman" w:cs="Times New Roman"/>
              </w:rPr>
            </w:pPr>
          </w:p>
          <w:p w14:paraId="49E5ED67">
            <w:pPr>
              <w:rPr>
                <w:rFonts w:hint="default" w:ascii="Times New Roman" w:hAnsi="Times New Roman" w:cs="Times New Roman"/>
                <w:kern w:val="0"/>
                <w:sz w:val="24"/>
              </w:rPr>
            </w:pPr>
          </w:p>
        </w:tc>
      </w:tr>
    </w:tbl>
    <w:p w14:paraId="41CFC9DC">
      <w:pPr>
        <w:spacing w:line="360" w:lineRule="auto"/>
        <w:outlineLvl w:val="0"/>
        <w:rPr>
          <w:rFonts w:eastAsia="黑体"/>
          <w:sz w:val="30"/>
        </w:rPr>
        <w:sectPr>
          <w:footerReference r:id="rId6" w:type="default"/>
          <w:pgSz w:w="11906" w:h="16838"/>
          <w:pgMar w:top="1417" w:right="1531" w:bottom="1417" w:left="1531" w:header="1191" w:footer="1134" w:gutter="0"/>
          <w:pgNumType w:start="1"/>
          <w:cols w:space="720" w:num="1"/>
          <w:docGrid w:linePitch="312" w:charSpace="0"/>
        </w:sectPr>
      </w:pPr>
    </w:p>
    <w:p w14:paraId="0D2D65E8">
      <w:pPr>
        <w:widowControl/>
        <w:jc w:val="center"/>
        <w:outlineLvl w:val="0"/>
        <w:rPr>
          <w:rFonts w:hint="eastAsia" w:ascii="黑体" w:hAnsi="黑体" w:eastAsia="黑体"/>
          <w:snapToGrid w:val="0"/>
          <w:sz w:val="30"/>
          <w:szCs w:val="30"/>
        </w:rPr>
      </w:pPr>
      <w:bookmarkStart w:id="23" w:name="_Toc31817"/>
      <w:bookmarkStart w:id="24" w:name="_Toc454"/>
      <w:r>
        <w:rPr>
          <w:rFonts w:hint="eastAsia" w:ascii="黑体" w:hAnsi="黑体" w:eastAsia="黑体"/>
          <w:snapToGrid w:val="0"/>
          <w:sz w:val="30"/>
          <w:szCs w:val="30"/>
        </w:rPr>
        <w:t>二、建设项目工程分析</w:t>
      </w:r>
      <w:bookmarkEnd w:id="23"/>
      <w:bookmarkEnd w:id="24"/>
    </w:p>
    <w:tbl>
      <w:tblPr>
        <w:tblStyle w:val="13"/>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561"/>
      </w:tblGrid>
      <w:tr w14:paraId="2E43D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3" w:type="dxa"/>
            <w:vAlign w:val="center"/>
          </w:tcPr>
          <w:p w14:paraId="4FBEFC2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建设内容</w:t>
            </w:r>
          </w:p>
        </w:tc>
        <w:tc>
          <w:tcPr>
            <w:tcW w:w="8561" w:type="dxa"/>
          </w:tcPr>
          <w:p w14:paraId="557BC7F2">
            <w:pPr>
              <w:adjustRightInd w:val="0"/>
              <w:snapToGrid w:val="0"/>
              <w:spacing w:line="360" w:lineRule="auto"/>
              <w:ind w:firstLine="482" w:firstLineChars="200"/>
              <w:jc w:val="lef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1、项目由来</w:t>
            </w:r>
          </w:p>
          <w:p w14:paraId="75743E0B">
            <w:pPr>
              <w:adjustRightInd w:val="0"/>
              <w:snapToGrid w:val="0"/>
              <w:spacing w:line="360" w:lineRule="auto"/>
              <w:ind w:firstLine="480" w:firstLineChars="200"/>
              <w:jc w:val="left"/>
              <w:textAlignment w:val="baseline"/>
              <w:rPr>
                <w:rFonts w:hint="eastAsia" w:cs="Times New Roman"/>
                <w:color w:val="auto"/>
                <w:sz w:val="24"/>
                <w:highlight w:val="none"/>
                <w:lang w:val="en-US" w:eastAsia="zh-CN"/>
              </w:rPr>
            </w:pPr>
          </w:p>
          <w:p w14:paraId="612B3AC3">
            <w:pPr>
              <w:adjustRightInd w:val="0"/>
              <w:snapToGrid w:val="0"/>
              <w:spacing w:line="360" w:lineRule="auto"/>
              <w:ind w:firstLine="480" w:firstLineChars="200"/>
              <w:jc w:val="left"/>
              <w:textAlignment w:val="baseline"/>
              <w:rPr>
                <w:rFonts w:hint="eastAsia" w:cs="Times New Roman"/>
                <w:color w:val="auto"/>
                <w:sz w:val="24"/>
                <w:highlight w:val="none"/>
                <w:lang w:val="en-US" w:eastAsia="zh-CN"/>
              </w:rPr>
            </w:pPr>
          </w:p>
          <w:p w14:paraId="5C4F30C1">
            <w:pPr>
              <w:adjustRightInd w:val="0"/>
              <w:snapToGrid w:val="0"/>
              <w:spacing w:line="360" w:lineRule="auto"/>
              <w:ind w:firstLine="480" w:firstLineChars="200"/>
              <w:jc w:val="center"/>
              <w:textAlignment w:val="baseline"/>
              <w:rPr>
                <w:rFonts w:hint="eastAsia" w:cs="Times New Roman"/>
                <w:color w:val="auto"/>
                <w:sz w:val="24"/>
                <w:highlight w:val="none"/>
                <w:lang w:val="en-US" w:eastAsia="zh-CN"/>
              </w:rPr>
            </w:pPr>
            <w:r>
              <w:rPr>
                <w:rFonts w:hint="eastAsia" w:cs="Times New Roman"/>
                <w:color w:val="auto"/>
                <w:sz w:val="24"/>
                <w:highlight w:val="none"/>
                <w:lang w:val="en-US" w:eastAsia="zh-CN"/>
              </w:rPr>
              <w:t>略</w:t>
            </w:r>
          </w:p>
          <w:p w14:paraId="7985F2FB">
            <w:pPr>
              <w:pStyle w:val="2"/>
              <w:rPr>
                <w:rFonts w:hint="eastAsia" w:cs="Times New Roman"/>
                <w:color w:val="auto"/>
                <w:sz w:val="24"/>
                <w:highlight w:val="none"/>
                <w:lang w:val="en-US" w:eastAsia="zh-CN"/>
              </w:rPr>
            </w:pPr>
          </w:p>
          <w:p w14:paraId="624DFD91">
            <w:pPr>
              <w:pStyle w:val="4"/>
              <w:rPr>
                <w:rFonts w:hint="eastAsia"/>
                <w:lang w:eastAsia="zh-CN"/>
              </w:rPr>
            </w:pPr>
          </w:p>
          <w:p w14:paraId="387176FF">
            <w:pPr>
              <w:adjustRightInd w:val="0"/>
              <w:snapToGrid w:val="0"/>
              <w:spacing w:line="360" w:lineRule="auto"/>
              <w:ind w:firstLine="480" w:firstLineChars="200"/>
              <w:jc w:val="lef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根据《中华人民共和国环境保护法》《中华人民共和国环境影响评价法》及其他相关环保法规及政策的有关规定</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应对该项目进行环境影响评价。依据《建设项目环境影响评价分类管理名录》（2021版）相关规定，本项目属于“三十二-70、电子和电工机械专用设备制造 356</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四十五-98、研究与试验 发展专业实验室、研发（试验基地）”，应编制环境影响报告表。因此，扬州德沪智能装备有限公司委托本环评单位编制该项目的环境影响报告表。</w:t>
            </w:r>
          </w:p>
          <w:p w14:paraId="2BE5E2B5">
            <w:pPr>
              <w:adjustRightInd w:val="0"/>
              <w:snapToGrid w:val="0"/>
              <w:spacing w:line="360" w:lineRule="auto"/>
              <w:ind w:firstLine="480" w:firstLineChars="200"/>
              <w:jc w:val="lef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环境影响评价法》和《建设项目环境保护管理条例》等有关法律法规的规定，项目方委托我单位担任该项目的环评影响评价工作。我单位接收委托后，在对项目进行了实地踏勘、资料收集和核实项目生产内容和工艺资料以及其他相关资料的基础上，按国家相关法律环境、法规及环境影响评价导则等编写本项目环境影响报告表。</w:t>
            </w:r>
          </w:p>
          <w:p w14:paraId="4FAF7617">
            <w:pPr>
              <w:adjustRightInd w:val="0"/>
              <w:snapToGrid w:val="0"/>
              <w:spacing w:line="360" w:lineRule="auto"/>
              <w:ind w:firstLine="482" w:firstLineChars="200"/>
              <w:jc w:val="lef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2、工程内容</w:t>
            </w:r>
          </w:p>
          <w:p w14:paraId="40803686">
            <w:pPr>
              <w:jc w:val="center"/>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表2.1  项目主体工程及公辅工程情况表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62"/>
              <w:gridCol w:w="1187"/>
              <w:gridCol w:w="3460"/>
              <w:gridCol w:w="2356"/>
            </w:tblGrid>
            <w:tr w14:paraId="46E66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40" w:type="dxa"/>
                  <w:vAlign w:val="center"/>
                </w:tcPr>
                <w:p w14:paraId="45BD3D81">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分类</w:t>
                  </w:r>
                </w:p>
              </w:tc>
              <w:tc>
                <w:tcPr>
                  <w:tcW w:w="1818" w:type="dxa"/>
                  <w:gridSpan w:val="2"/>
                  <w:vAlign w:val="center"/>
                </w:tcPr>
                <w:p w14:paraId="3FAF0745">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建设名称</w:t>
                  </w:r>
                </w:p>
              </w:tc>
              <w:tc>
                <w:tcPr>
                  <w:tcW w:w="3403" w:type="dxa"/>
                  <w:vAlign w:val="center"/>
                </w:tcPr>
                <w:p w14:paraId="6BBE537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设计能力</w:t>
                  </w:r>
                </w:p>
              </w:tc>
              <w:tc>
                <w:tcPr>
                  <w:tcW w:w="2317" w:type="dxa"/>
                  <w:vAlign w:val="center"/>
                </w:tcPr>
                <w:p w14:paraId="2837F5E0">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备注</w:t>
                  </w:r>
                </w:p>
              </w:tc>
            </w:tr>
            <w:tr w14:paraId="12F4F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40" w:type="dxa"/>
                  <w:vMerge w:val="restart"/>
                  <w:vAlign w:val="center"/>
                </w:tcPr>
                <w:p w14:paraId="75ED607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主体工程</w:t>
                  </w:r>
                </w:p>
              </w:tc>
              <w:tc>
                <w:tcPr>
                  <w:tcW w:w="1818" w:type="dxa"/>
                  <w:gridSpan w:val="2"/>
                  <w:vAlign w:val="center"/>
                </w:tcPr>
                <w:p w14:paraId="585C9154">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生产厂房一</w:t>
                  </w:r>
                </w:p>
              </w:tc>
              <w:tc>
                <w:tcPr>
                  <w:tcW w:w="3403" w:type="dxa"/>
                  <w:vAlign w:val="center"/>
                </w:tcPr>
                <w:p w14:paraId="78DB74B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69BD11EE">
                  <w:pPr>
                    <w:jc w:val="center"/>
                    <w:rPr>
                      <w:rFonts w:hint="default" w:ascii="Times New Roman" w:hAnsi="Times New Roman" w:cs="Times New Roman"/>
                      <w:color w:val="auto"/>
                      <w:highlight w:val="none"/>
                    </w:rPr>
                  </w:pPr>
                  <w:r>
                    <w:rPr>
                      <w:rFonts w:hint="eastAsia"/>
                      <w:color w:val="auto"/>
                      <w:highlight w:val="none"/>
                      <w:lang w:val="en-US" w:eastAsia="zh-CN"/>
                    </w:rPr>
                    <w:t>厂区西部</w:t>
                  </w:r>
                </w:p>
              </w:tc>
            </w:tr>
            <w:tr w14:paraId="77A4D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40" w:type="dxa"/>
                  <w:vMerge w:val="continue"/>
                  <w:vAlign w:val="center"/>
                </w:tcPr>
                <w:p w14:paraId="54AEDC88">
                  <w:pPr>
                    <w:jc w:val="center"/>
                    <w:rPr>
                      <w:rFonts w:hint="default" w:ascii="Times New Roman" w:hAnsi="Times New Roman" w:cs="Times New Roman"/>
                      <w:color w:val="auto"/>
                      <w:highlight w:val="none"/>
                    </w:rPr>
                  </w:pPr>
                </w:p>
              </w:tc>
              <w:tc>
                <w:tcPr>
                  <w:tcW w:w="1818" w:type="dxa"/>
                  <w:gridSpan w:val="2"/>
                  <w:vAlign w:val="center"/>
                </w:tcPr>
                <w:p w14:paraId="15CF1026">
                  <w:pPr>
                    <w:jc w:val="center"/>
                    <w:rPr>
                      <w:rFonts w:hint="default" w:ascii="Times New Roman" w:hAnsi="Times New Roman" w:cs="Times New Roman"/>
                      <w:color w:val="auto"/>
                      <w:highlight w:val="none"/>
                    </w:rPr>
                  </w:pPr>
                  <w:r>
                    <w:rPr>
                      <w:rFonts w:hint="eastAsia" w:cs="Times New Roman"/>
                      <w:color w:val="auto"/>
                      <w:highlight w:val="none"/>
                      <w:lang w:eastAsia="zh-CN"/>
                    </w:rPr>
                    <w:t>生产厂房二</w:t>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钙钛矿研究院</w:t>
                  </w:r>
                  <w:r>
                    <w:rPr>
                      <w:rFonts w:hint="default" w:ascii="Times New Roman" w:hAnsi="Times New Roman" w:cs="Times New Roman"/>
                      <w:color w:val="auto"/>
                      <w:highlight w:val="none"/>
                    </w:rPr>
                    <w:t>）</w:t>
                  </w:r>
                </w:p>
              </w:tc>
              <w:tc>
                <w:tcPr>
                  <w:tcW w:w="3403" w:type="dxa"/>
                  <w:vAlign w:val="center"/>
                </w:tcPr>
                <w:p w14:paraId="0A4C223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21B25847">
                  <w:pPr>
                    <w:jc w:val="center"/>
                    <w:rPr>
                      <w:rFonts w:hint="default" w:ascii="Times New Roman" w:hAnsi="Times New Roman" w:cs="Times New Roman"/>
                      <w:color w:val="auto"/>
                      <w:highlight w:val="none"/>
                      <w:lang w:val="en-US"/>
                    </w:rPr>
                  </w:pPr>
                  <w:r>
                    <w:rPr>
                      <w:rFonts w:hint="eastAsia" w:cs="Times New Roman"/>
                      <w:color w:val="auto"/>
                      <w:highlight w:val="none"/>
                      <w:lang w:val="en-US" w:eastAsia="zh-CN"/>
                    </w:rPr>
                    <w:t>厂区东部</w:t>
                  </w:r>
                </w:p>
              </w:tc>
            </w:tr>
            <w:tr w14:paraId="68756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40" w:type="dxa"/>
                  <w:vMerge w:val="restart"/>
                  <w:vAlign w:val="center"/>
                </w:tcPr>
                <w:p w14:paraId="32867A5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贮运工程</w:t>
                  </w:r>
                </w:p>
              </w:tc>
              <w:tc>
                <w:tcPr>
                  <w:tcW w:w="1818" w:type="dxa"/>
                  <w:gridSpan w:val="2"/>
                  <w:vAlign w:val="center"/>
                </w:tcPr>
                <w:p w14:paraId="282242F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原料仓库</w:t>
                  </w:r>
                </w:p>
              </w:tc>
              <w:tc>
                <w:tcPr>
                  <w:tcW w:w="3403" w:type="dxa"/>
                  <w:vAlign w:val="center"/>
                </w:tcPr>
                <w:p w14:paraId="65B2352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15D5D90B">
                  <w:pPr>
                    <w:jc w:val="center"/>
                    <w:rPr>
                      <w:rFonts w:hint="default" w:ascii="Times New Roman" w:hAnsi="Times New Roman" w:cs="Times New Roman"/>
                      <w:color w:val="auto"/>
                      <w:highlight w:val="none"/>
                    </w:rPr>
                  </w:pPr>
                  <w:r>
                    <w:rPr>
                      <w:rFonts w:hint="eastAsia" w:cs="Times New Roman"/>
                      <w:color w:val="auto"/>
                      <w:highlight w:val="none"/>
                      <w:lang w:val="en-US" w:eastAsia="zh-CN"/>
                    </w:rPr>
                    <w:t>厂区北部</w:t>
                  </w:r>
                </w:p>
              </w:tc>
            </w:tr>
            <w:tr w14:paraId="1116E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14:paraId="0878594A">
                  <w:pPr>
                    <w:jc w:val="center"/>
                    <w:rPr>
                      <w:rFonts w:hint="default" w:ascii="Times New Roman" w:hAnsi="Times New Roman" w:cs="Times New Roman"/>
                      <w:color w:val="auto"/>
                      <w:highlight w:val="none"/>
                    </w:rPr>
                  </w:pPr>
                </w:p>
              </w:tc>
              <w:tc>
                <w:tcPr>
                  <w:tcW w:w="1818" w:type="dxa"/>
                  <w:gridSpan w:val="2"/>
                  <w:vAlign w:val="center"/>
                </w:tcPr>
                <w:p w14:paraId="409E8E4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原辅料仓库</w:t>
                  </w:r>
                </w:p>
              </w:tc>
              <w:tc>
                <w:tcPr>
                  <w:tcW w:w="3403" w:type="dxa"/>
                  <w:vAlign w:val="center"/>
                </w:tcPr>
                <w:p w14:paraId="702C9DE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3BF256F0">
                  <w:pPr>
                    <w:jc w:val="center"/>
                    <w:rPr>
                      <w:rFonts w:hint="default" w:ascii="Times New Roman" w:hAnsi="Times New Roman" w:cs="Times New Roman"/>
                      <w:color w:val="auto"/>
                      <w:highlight w:val="none"/>
                    </w:rPr>
                  </w:pPr>
                  <w:r>
                    <w:rPr>
                      <w:rFonts w:hint="eastAsia" w:cs="Times New Roman"/>
                      <w:color w:val="auto"/>
                      <w:highlight w:val="none"/>
                      <w:lang w:val="en-US" w:eastAsia="zh-CN"/>
                    </w:rPr>
                    <w:t>厂区东北部</w:t>
                  </w:r>
                </w:p>
              </w:tc>
            </w:tr>
            <w:tr w14:paraId="6186A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14:paraId="71894DD6">
                  <w:pPr>
                    <w:jc w:val="center"/>
                    <w:rPr>
                      <w:rFonts w:hint="default" w:ascii="Times New Roman" w:hAnsi="Times New Roman" w:cs="Times New Roman"/>
                      <w:color w:val="auto"/>
                      <w:highlight w:val="none"/>
                    </w:rPr>
                  </w:pPr>
                </w:p>
              </w:tc>
              <w:tc>
                <w:tcPr>
                  <w:tcW w:w="1818" w:type="dxa"/>
                  <w:gridSpan w:val="2"/>
                  <w:vAlign w:val="center"/>
                </w:tcPr>
                <w:p w14:paraId="2FF383C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生产水池及消防水泵房</w:t>
                  </w:r>
                </w:p>
              </w:tc>
              <w:tc>
                <w:tcPr>
                  <w:tcW w:w="3403" w:type="dxa"/>
                  <w:vAlign w:val="center"/>
                </w:tcPr>
                <w:p w14:paraId="3C6F04F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5BDB817C">
                  <w:pPr>
                    <w:jc w:val="center"/>
                    <w:rPr>
                      <w:rFonts w:hint="default" w:ascii="Times New Roman" w:hAnsi="Times New Roman" w:cs="Times New Roman"/>
                      <w:color w:val="auto"/>
                      <w:highlight w:val="none"/>
                    </w:rPr>
                  </w:pPr>
                  <w:r>
                    <w:rPr>
                      <w:rFonts w:hint="eastAsia" w:cs="Times New Roman"/>
                      <w:color w:val="auto"/>
                      <w:highlight w:val="none"/>
                      <w:lang w:val="en-US" w:eastAsia="zh-CN"/>
                    </w:rPr>
                    <w:t>厂区西北部</w:t>
                  </w:r>
                </w:p>
              </w:tc>
            </w:tr>
            <w:tr w14:paraId="04E42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40" w:type="dxa"/>
                  <w:vMerge w:val="restart"/>
                  <w:vAlign w:val="center"/>
                </w:tcPr>
                <w:p w14:paraId="74655C3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公辅工程</w:t>
                  </w:r>
                </w:p>
              </w:tc>
              <w:tc>
                <w:tcPr>
                  <w:tcW w:w="651" w:type="dxa"/>
                  <w:vMerge w:val="restart"/>
                  <w:vAlign w:val="center"/>
                </w:tcPr>
                <w:p w14:paraId="3A47CBF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公用工程</w:t>
                  </w:r>
                </w:p>
              </w:tc>
              <w:tc>
                <w:tcPr>
                  <w:tcW w:w="1167" w:type="dxa"/>
                  <w:vAlign w:val="center"/>
                </w:tcPr>
                <w:p w14:paraId="37F4BCD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给水系统</w:t>
                  </w:r>
                </w:p>
              </w:tc>
              <w:tc>
                <w:tcPr>
                  <w:tcW w:w="3403" w:type="dxa"/>
                  <w:vAlign w:val="center"/>
                </w:tcPr>
                <w:p w14:paraId="1677798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44A6505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开发区自来水管网供水</w:t>
                  </w:r>
                </w:p>
              </w:tc>
            </w:tr>
            <w:tr w14:paraId="03CF3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40" w:type="dxa"/>
                  <w:vMerge w:val="continue"/>
                  <w:vAlign w:val="center"/>
                </w:tcPr>
                <w:p w14:paraId="3A5B2F52">
                  <w:pPr>
                    <w:jc w:val="center"/>
                    <w:rPr>
                      <w:rFonts w:hint="default" w:ascii="Times New Roman" w:hAnsi="Times New Roman" w:cs="Times New Roman"/>
                      <w:color w:val="auto"/>
                      <w:highlight w:val="none"/>
                    </w:rPr>
                  </w:pPr>
                </w:p>
              </w:tc>
              <w:tc>
                <w:tcPr>
                  <w:tcW w:w="651" w:type="dxa"/>
                  <w:vMerge w:val="continue"/>
                  <w:vAlign w:val="center"/>
                </w:tcPr>
                <w:p w14:paraId="3885744C">
                  <w:pPr>
                    <w:jc w:val="center"/>
                    <w:rPr>
                      <w:rFonts w:hint="default" w:ascii="Times New Roman" w:hAnsi="Times New Roman" w:cs="Times New Roman"/>
                      <w:color w:val="auto"/>
                      <w:highlight w:val="none"/>
                    </w:rPr>
                  </w:pPr>
                </w:p>
              </w:tc>
              <w:tc>
                <w:tcPr>
                  <w:tcW w:w="1167" w:type="dxa"/>
                  <w:vAlign w:val="center"/>
                </w:tcPr>
                <w:p w14:paraId="732661E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排水系统</w:t>
                  </w:r>
                </w:p>
              </w:tc>
              <w:tc>
                <w:tcPr>
                  <w:tcW w:w="3403" w:type="dxa"/>
                  <w:vAlign w:val="center"/>
                </w:tcPr>
                <w:p w14:paraId="3C55B36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77BE34E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依托区域污水管网</w:t>
                  </w:r>
                </w:p>
              </w:tc>
            </w:tr>
            <w:tr w14:paraId="56605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40" w:type="dxa"/>
                  <w:vMerge w:val="continue"/>
                  <w:vAlign w:val="center"/>
                </w:tcPr>
                <w:p w14:paraId="674DA9DF">
                  <w:pPr>
                    <w:jc w:val="center"/>
                    <w:rPr>
                      <w:rFonts w:hint="default" w:ascii="Times New Roman" w:hAnsi="Times New Roman" w:cs="Times New Roman"/>
                      <w:color w:val="auto"/>
                      <w:highlight w:val="none"/>
                    </w:rPr>
                  </w:pPr>
                </w:p>
              </w:tc>
              <w:tc>
                <w:tcPr>
                  <w:tcW w:w="651" w:type="dxa"/>
                  <w:vMerge w:val="continue"/>
                  <w:vAlign w:val="center"/>
                </w:tcPr>
                <w:p w14:paraId="21054C5F">
                  <w:pPr>
                    <w:jc w:val="center"/>
                    <w:rPr>
                      <w:rFonts w:hint="default" w:ascii="Times New Roman" w:hAnsi="Times New Roman" w:cs="Times New Roman"/>
                      <w:color w:val="auto"/>
                      <w:highlight w:val="none"/>
                    </w:rPr>
                  </w:pPr>
                </w:p>
              </w:tc>
              <w:tc>
                <w:tcPr>
                  <w:tcW w:w="1167" w:type="dxa"/>
                  <w:vAlign w:val="center"/>
                </w:tcPr>
                <w:p w14:paraId="5FE0C83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供电系统</w:t>
                  </w:r>
                </w:p>
              </w:tc>
              <w:tc>
                <w:tcPr>
                  <w:tcW w:w="3403" w:type="dxa"/>
                  <w:vAlign w:val="center"/>
                </w:tcPr>
                <w:p w14:paraId="6C46462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327CDD8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依托当地供电管网</w:t>
                  </w:r>
                </w:p>
              </w:tc>
            </w:tr>
            <w:tr w14:paraId="385D4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40" w:type="dxa"/>
                  <w:vMerge w:val="continue"/>
                  <w:vAlign w:val="center"/>
                </w:tcPr>
                <w:p w14:paraId="63809C14">
                  <w:pPr>
                    <w:jc w:val="center"/>
                    <w:rPr>
                      <w:rFonts w:hint="default" w:ascii="Times New Roman" w:hAnsi="Times New Roman" w:cs="Times New Roman"/>
                      <w:color w:val="auto"/>
                      <w:highlight w:val="none"/>
                    </w:rPr>
                  </w:pPr>
                </w:p>
              </w:tc>
              <w:tc>
                <w:tcPr>
                  <w:tcW w:w="651" w:type="dxa"/>
                  <w:vMerge w:val="restart"/>
                  <w:vAlign w:val="center"/>
                </w:tcPr>
                <w:p w14:paraId="00886EE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辅助工程</w:t>
                  </w:r>
                </w:p>
              </w:tc>
              <w:tc>
                <w:tcPr>
                  <w:tcW w:w="1167" w:type="dxa"/>
                  <w:vAlign w:val="center"/>
                </w:tcPr>
                <w:p w14:paraId="7055847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办公区</w:t>
                  </w:r>
                </w:p>
              </w:tc>
              <w:tc>
                <w:tcPr>
                  <w:tcW w:w="3403" w:type="dxa"/>
                  <w:vAlign w:val="center"/>
                </w:tcPr>
                <w:p w14:paraId="619BEFE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7754E07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生产厂房</w:t>
                  </w:r>
                  <w:r>
                    <w:rPr>
                      <w:rFonts w:hint="eastAsia" w:cs="Times New Roman"/>
                      <w:color w:val="auto"/>
                      <w:highlight w:val="none"/>
                      <w:lang w:val="en-US" w:eastAsia="zh-CN"/>
                    </w:rPr>
                    <w:t>一</w:t>
                  </w:r>
                  <w:r>
                    <w:rPr>
                      <w:rFonts w:hint="default" w:ascii="Times New Roman" w:hAnsi="Times New Roman" w:cs="Times New Roman"/>
                      <w:color w:val="auto"/>
                      <w:highlight w:val="none"/>
                    </w:rPr>
                    <w:t>局部二层</w:t>
                  </w:r>
                </w:p>
              </w:tc>
            </w:tr>
            <w:tr w14:paraId="33D39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40" w:type="dxa"/>
                  <w:vMerge w:val="continue"/>
                  <w:vAlign w:val="center"/>
                </w:tcPr>
                <w:p w14:paraId="623F1E37">
                  <w:pPr>
                    <w:jc w:val="center"/>
                    <w:rPr>
                      <w:rFonts w:hint="default" w:ascii="Times New Roman" w:hAnsi="Times New Roman" w:cs="Times New Roman"/>
                      <w:color w:val="auto"/>
                      <w:highlight w:val="none"/>
                    </w:rPr>
                  </w:pPr>
                </w:p>
              </w:tc>
              <w:tc>
                <w:tcPr>
                  <w:tcW w:w="651" w:type="dxa"/>
                  <w:vMerge w:val="continue"/>
                  <w:vAlign w:val="center"/>
                </w:tcPr>
                <w:p w14:paraId="35863968">
                  <w:pPr>
                    <w:jc w:val="center"/>
                    <w:rPr>
                      <w:rFonts w:hint="default" w:ascii="Times New Roman" w:hAnsi="Times New Roman" w:cs="Times New Roman"/>
                      <w:color w:val="auto"/>
                      <w:highlight w:val="none"/>
                    </w:rPr>
                  </w:pPr>
                </w:p>
              </w:tc>
              <w:tc>
                <w:tcPr>
                  <w:tcW w:w="1167" w:type="dxa"/>
                  <w:vAlign w:val="center"/>
                </w:tcPr>
                <w:p w14:paraId="58C6606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食堂</w:t>
                  </w:r>
                </w:p>
              </w:tc>
              <w:tc>
                <w:tcPr>
                  <w:tcW w:w="3403" w:type="dxa"/>
                  <w:vAlign w:val="center"/>
                </w:tcPr>
                <w:p w14:paraId="18F62FF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661F9CDC">
                  <w:pPr>
                    <w:jc w:val="center"/>
                    <w:rPr>
                      <w:rFonts w:hint="default" w:ascii="Times New Roman" w:hAnsi="Times New Roman" w:cs="Times New Roman"/>
                      <w:color w:val="auto"/>
                      <w:highlight w:val="none"/>
                    </w:rPr>
                  </w:pPr>
                  <w:r>
                    <w:rPr>
                      <w:rFonts w:hint="eastAsia" w:cs="Times New Roman"/>
                      <w:color w:val="auto"/>
                      <w:highlight w:val="none"/>
                      <w:lang w:val="en-US" w:eastAsia="zh-CN"/>
                    </w:rPr>
                    <w:t>厂区北部</w:t>
                  </w:r>
                </w:p>
              </w:tc>
            </w:tr>
            <w:tr w14:paraId="3459E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640" w:type="dxa"/>
                  <w:vMerge w:val="restart"/>
                  <w:vAlign w:val="center"/>
                </w:tcPr>
                <w:p w14:paraId="0EE61D0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环保工程</w:t>
                  </w:r>
                </w:p>
              </w:tc>
              <w:tc>
                <w:tcPr>
                  <w:tcW w:w="651" w:type="dxa"/>
                  <w:vMerge w:val="restart"/>
                  <w:vAlign w:val="center"/>
                </w:tcPr>
                <w:p w14:paraId="0C638A8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1167" w:type="dxa"/>
                  <w:vAlign w:val="center"/>
                </w:tcPr>
                <w:p w14:paraId="4B6B39F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生活污水</w:t>
                  </w:r>
                </w:p>
              </w:tc>
              <w:tc>
                <w:tcPr>
                  <w:tcW w:w="3403" w:type="dxa"/>
                  <w:vAlign w:val="center"/>
                </w:tcPr>
                <w:p w14:paraId="50421C4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2BA537E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经化粪池预处理后</w:t>
                  </w:r>
                  <w:r>
                    <w:rPr>
                      <w:rFonts w:hint="default" w:ascii="Times New Roman" w:hAnsi="Times New Roman" w:cs="Times New Roman"/>
                      <w:color w:val="auto"/>
                      <w:highlight w:val="none"/>
                    </w:rPr>
                    <w:t>达标排放</w:t>
                  </w:r>
                </w:p>
              </w:tc>
            </w:tr>
            <w:tr w14:paraId="0FA0D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640" w:type="dxa"/>
                  <w:vMerge w:val="continue"/>
                  <w:vAlign w:val="center"/>
                </w:tcPr>
                <w:p w14:paraId="6769CD9E">
                  <w:pPr>
                    <w:jc w:val="center"/>
                    <w:rPr>
                      <w:rFonts w:hint="default" w:ascii="Times New Roman" w:hAnsi="Times New Roman" w:cs="Times New Roman"/>
                      <w:color w:val="auto"/>
                      <w:highlight w:val="none"/>
                    </w:rPr>
                  </w:pPr>
                </w:p>
              </w:tc>
              <w:tc>
                <w:tcPr>
                  <w:tcW w:w="651" w:type="dxa"/>
                  <w:vMerge w:val="continue"/>
                  <w:vAlign w:val="center"/>
                </w:tcPr>
                <w:p w14:paraId="2F087F1D">
                  <w:pPr>
                    <w:jc w:val="center"/>
                    <w:rPr>
                      <w:rFonts w:hint="default" w:ascii="Times New Roman" w:hAnsi="Times New Roman" w:cs="Times New Roman"/>
                      <w:color w:val="auto"/>
                      <w:highlight w:val="none"/>
                    </w:rPr>
                  </w:pPr>
                </w:p>
              </w:tc>
              <w:tc>
                <w:tcPr>
                  <w:tcW w:w="1167" w:type="dxa"/>
                  <w:shd w:val="clear" w:color="auto" w:fill="auto"/>
                  <w:vAlign w:val="center"/>
                </w:tcPr>
                <w:p w14:paraId="73C5DAB9">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食堂废水</w:t>
                  </w:r>
                </w:p>
              </w:tc>
              <w:tc>
                <w:tcPr>
                  <w:tcW w:w="3403" w:type="dxa"/>
                  <w:shd w:val="clear" w:color="auto" w:fill="auto"/>
                  <w:vAlign w:val="center"/>
                </w:tcPr>
                <w:p w14:paraId="29DA4C10">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317" w:type="dxa"/>
                  <w:shd w:val="clear" w:color="auto" w:fill="auto"/>
                  <w:vAlign w:val="center"/>
                </w:tcPr>
                <w:p w14:paraId="59625A0E">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经隔油池</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化粪池预处理后</w:t>
                  </w:r>
                  <w:r>
                    <w:rPr>
                      <w:rFonts w:hint="default" w:ascii="Times New Roman" w:hAnsi="Times New Roman" w:cs="Times New Roman"/>
                      <w:color w:val="auto"/>
                      <w:highlight w:val="none"/>
                    </w:rPr>
                    <w:t>达标排放</w:t>
                  </w:r>
                </w:p>
              </w:tc>
            </w:tr>
            <w:tr w14:paraId="58D59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640" w:type="dxa"/>
                  <w:vMerge w:val="continue"/>
                  <w:vAlign w:val="center"/>
                </w:tcPr>
                <w:p w14:paraId="0C23B3A8">
                  <w:pPr>
                    <w:jc w:val="center"/>
                    <w:rPr>
                      <w:rFonts w:hint="default" w:ascii="Times New Roman" w:hAnsi="Times New Roman" w:cs="Times New Roman"/>
                      <w:color w:val="auto"/>
                      <w:highlight w:val="none"/>
                    </w:rPr>
                  </w:pPr>
                </w:p>
              </w:tc>
              <w:tc>
                <w:tcPr>
                  <w:tcW w:w="651" w:type="dxa"/>
                  <w:vMerge w:val="continue"/>
                  <w:vAlign w:val="center"/>
                </w:tcPr>
                <w:p w14:paraId="227C38E7">
                  <w:pPr>
                    <w:jc w:val="center"/>
                    <w:rPr>
                      <w:rFonts w:hint="default" w:ascii="Times New Roman" w:hAnsi="Times New Roman" w:cs="Times New Roman"/>
                      <w:color w:val="auto"/>
                      <w:highlight w:val="none"/>
                    </w:rPr>
                  </w:pPr>
                </w:p>
              </w:tc>
              <w:tc>
                <w:tcPr>
                  <w:tcW w:w="1167" w:type="dxa"/>
                  <w:vAlign w:val="center"/>
                </w:tcPr>
                <w:p w14:paraId="0D755AC1">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冲洗废水</w:t>
                  </w:r>
                </w:p>
              </w:tc>
              <w:tc>
                <w:tcPr>
                  <w:tcW w:w="3403" w:type="dxa"/>
                  <w:vAlign w:val="center"/>
                </w:tcPr>
                <w:p w14:paraId="426A374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3A53E43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达标排放</w:t>
                  </w:r>
                </w:p>
              </w:tc>
            </w:tr>
            <w:tr w14:paraId="43F14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640" w:type="dxa"/>
                  <w:vMerge w:val="continue"/>
                  <w:vAlign w:val="center"/>
                </w:tcPr>
                <w:p w14:paraId="1C7852CF">
                  <w:pPr>
                    <w:jc w:val="center"/>
                    <w:rPr>
                      <w:rFonts w:hint="default" w:ascii="Times New Roman" w:hAnsi="Times New Roman" w:cs="Times New Roman"/>
                      <w:color w:val="auto"/>
                      <w:highlight w:val="none"/>
                    </w:rPr>
                  </w:pPr>
                </w:p>
              </w:tc>
              <w:tc>
                <w:tcPr>
                  <w:tcW w:w="651" w:type="dxa"/>
                  <w:vMerge w:val="continue"/>
                  <w:vAlign w:val="center"/>
                </w:tcPr>
                <w:p w14:paraId="45524A23">
                  <w:pPr>
                    <w:jc w:val="center"/>
                    <w:rPr>
                      <w:rFonts w:hint="default" w:ascii="Times New Roman" w:hAnsi="Times New Roman" w:cs="Times New Roman"/>
                      <w:color w:val="auto"/>
                      <w:highlight w:val="none"/>
                    </w:rPr>
                  </w:pPr>
                </w:p>
              </w:tc>
              <w:tc>
                <w:tcPr>
                  <w:tcW w:w="1167" w:type="dxa"/>
                  <w:shd w:val="clear" w:color="auto" w:fill="auto"/>
                  <w:vAlign w:val="center"/>
                </w:tcPr>
                <w:p w14:paraId="222DCA0F">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纯水制备</w:t>
                  </w:r>
                  <w:r>
                    <w:rPr>
                      <w:rFonts w:hint="eastAsia" w:cs="Times New Roman"/>
                      <w:color w:val="auto"/>
                      <w:highlight w:val="none"/>
                      <w:lang w:val="en-US" w:eastAsia="zh-CN"/>
                    </w:rPr>
                    <w:t>浓</w:t>
                  </w:r>
                  <w:r>
                    <w:rPr>
                      <w:rFonts w:hint="default" w:ascii="Times New Roman" w:hAnsi="Times New Roman" w:cs="Times New Roman"/>
                      <w:color w:val="auto"/>
                      <w:highlight w:val="none"/>
                    </w:rPr>
                    <w:t>水</w:t>
                  </w:r>
                </w:p>
              </w:tc>
              <w:tc>
                <w:tcPr>
                  <w:tcW w:w="3403" w:type="dxa"/>
                  <w:shd w:val="clear" w:color="auto" w:fill="auto"/>
                  <w:vAlign w:val="center"/>
                </w:tcPr>
                <w:p w14:paraId="22742FBC">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317" w:type="dxa"/>
                  <w:shd w:val="clear" w:color="auto" w:fill="auto"/>
                  <w:vAlign w:val="center"/>
                </w:tcPr>
                <w:p w14:paraId="5CD75A75">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达标排放</w:t>
                  </w:r>
                </w:p>
              </w:tc>
            </w:tr>
            <w:tr w14:paraId="5DF3F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640" w:type="dxa"/>
                  <w:vMerge w:val="continue"/>
                  <w:vAlign w:val="center"/>
                </w:tcPr>
                <w:p w14:paraId="512D6E45">
                  <w:pPr>
                    <w:jc w:val="center"/>
                    <w:rPr>
                      <w:rFonts w:hint="default" w:ascii="Times New Roman" w:hAnsi="Times New Roman" w:cs="Times New Roman"/>
                      <w:color w:val="auto"/>
                      <w:highlight w:val="none"/>
                    </w:rPr>
                  </w:pPr>
                </w:p>
              </w:tc>
              <w:tc>
                <w:tcPr>
                  <w:tcW w:w="651" w:type="dxa"/>
                  <w:vMerge w:val="continue"/>
                  <w:vAlign w:val="center"/>
                </w:tcPr>
                <w:p w14:paraId="6BCBA324">
                  <w:pPr>
                    <w:jc w:val="center"/>
                    <w:rPr>
                      <w:rFonts w:hint="default" w:ascii="Times New Roman" w:hAnsi="Times New Roman" w:cs="Times New Roman"/>
                      <w:color w:val="auto"/>
                      <w:highlight w:val="none"/>
                    </w:rPr>
                  </w:pPr>
                </w:p>
              </w:tc>
              <w:tc>
                <w:tcPr>
                  <w:tcW w:w="1167" w:type="dxa"/>
                  <w:vAlign w:val="center"/>
                </w:tcPr>
                <w:p w14:paraId="696C7F43">
                  <w:pPr>
                    <w:jc w:val="center"/>
                    <w:rPr>
                      <w:rFonts w:hint="eastAsia" w:cs="Times New Roman"/>
                      <w:color w:val="auto"/>
                      <w:highlight w:val="none"/>
                      <w:lang w:val="en-US" w:eastAsia="zh-CN"/>
                    </w:rPr>
                  </w:pPr>
                  <w:r>
                    <w:rPr>
                      <w:rFonts w:hint="eastAsia" w:cs="Times New Roman"/>
                      <w:color w:val="auto"/>
                      <w:highlight w:val="none"/>
                      <w:lang w:val="en-US" w:eastAsia="zh-CN"/>
                    </w:rPr>
                    <w:t>反冲洗废水</w:t>
                  </w:r>
                </w:p>
              </w:tc>
              <w:tc>
                <w:tcPr>
                  <w:tcW w:w="3403" w:type="dxa"/>
                  <w:vAlign w:val="center"/>
                </w:tcPr>
                <w:p w14:paraId="0B0254F1">
                  <w:pPr>
                    <w:jc w:val="center"/>
                    <w:rPr>
                      <w:rFonts w:hint="eastAsia" w:cs="Times New Roman"/>
                      <w:color w:val="auto"/>
                      <w:highlight w:val="none"/>
                      <w:lang w:val="en-US" w:eastAsia="zh-CN"/>
                    </w:rPr>
                  </w:pPr>
                  <w:r>
                    <w:rPr>
                      <w:rFonts w:hint="eastAsia" w:cs="Times New Roman"/>
                      <w:color w:val="auto"/>
                      <w:sz w:val="24"/>
                      <w:szCs w:val="24"/>
                      <w:highlight w:val="none"/>
                      <w:lang w:val="en-US" w:eastAsia="zh-CN"/>
                    </w:rPr>
                    <w:t>***</w:t>
                  </w:r>
                </w:p>
              </w:tc>
              <w:tc>
                <w:tcPr>
                  <w:tcW w:w="2317" w:type="dxa"/>
                  <w:vAlign w:val="center"/>
                </w:tcPr>
                <w:p w14:paraId="27EC108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达标排放</w:t>
                  </w:r>
                </w:p>
              </w:tc>
            </w:tr>
            <w:tr w14:paraId="1B44D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40" w:type="dxa"/>
                  <w:vMerge w:val="continue"/>
                  <w:vAlign w:val="center"/>
                </w:tcPr>
                <w:p w14:paraId="37F07A09">
                  <w:pPr>
                    <w:jc w:val="center"/>
                    <w:rPr>
                      <w:rFonts w:hint="default" w:ascii="Times New Roman" w:hAnsi="Times New Roman" w:cs="Times New Roman"/>
                      <w:color w:val="auto"/>
                      <w:highlight w:val="none"/>
                    </w:rPr>
                  </w:pPr>
                </w:p>
              </w:tc>
              <w:tc>
                <w:tcPr>
                  <w:tcW w:w="651" w:type="dxa"/>
                  <w:vMerge w:val="restart"/>
                  <w:vAlign w:val="center"/>
                </w:tcPr>
                <w:p w14:paraId="494E548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1167" w:type="dxa"/>
                  <w:vAlign w:val="center"/>
                </w:tcPr>
                <w:p w14:paraId="646FA0C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激光划线粉尘</w:t>
                  </w:r>
                </w:p>
              </w:tc>
              <w:tc>
                <w:tcPr>
                  <w:tcW w:w="3403" w:type="dxa"/>
                  <w:vAlign w:val="center"/>
                </w:tcPr>
                <w:p w14:paraId="3903DAF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Align w:val="center"/>
                </w:tcPr>
                <w:p w14:paraId="432088D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B0B5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40" w:type="dxa"/>
                  <w:vMerge w:val="continue"/>
                  <w:vAlign w:val="center"/>
                </w:tcPr>
                <w:p w14:paraId="653A7889">
                  <w:pPr>
                    <w:jc w:val="center"/>
                    <w:rPr>
                      <w:rFonts w:hint="default" w:ascii="Times New Roman" w:hAnsi="Times New Roman" w:cs="Times New Roman"/>
                      <w:color w:val="auto"/>
                      <w:highlight w:val="none"/>
                    </w:rPr>
                  </w:pPr>
                </w:p>
              </w:tc>
              <w:tc>
                <w:tcPr>
                  <w:tcW w:w="651" w:type="dxa"/>
                  <w:vMerge w:val="continue"/>
                  <w:vAlign w:val="center"/>
                </w:tcPr>
                <w:p w14:paraId="346596F5">
                  <w:pPr>
                    <w:jc w:val="center"/>
                    <w:rPr>
                      <w:rFonts w:hint="default" w:ascii="Times New Roman" w:hAnsi="Times New Roman" w:cs="Times New Roman"/>
                      <w:color w:val="auto"/>
                      <w:highlight w:val="none"/>
                    </w:rPr>
                  </w:pPr>
                </w:p>
              </w:tc>
              <w:tc>
                <w:tcPr>
                  <w:tcW w:w="1167" w:type="dxa"/>
                  <w:vAlign w:val="center"/>
                </w:tcPr>
                <w:p w14:paraId="6FC0722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研发实验废气（非甲烷总烃）</w:t>
                  </w:r>
                </w:p>
              </w:tc>
              <w:tc>
                <w:tcPr>
                  <w:tcW w:w="3403" w:type="dxa"/>
                  <w:vAlign w:val="center"/>
                </w:tcPr>
                <w:p w14:paraId="606AB187">
                  <w:pPr>
                    <w:jc w:val="center"/>
                    <w:rPr>
                      <w:rFonts w:hint="eastAsia" w:ascii="Times New Roman" w:hAnsi="Times New Roman" w:eastAsia="宋体" w:cs="Times New Roman"/>
                      <w:color w:val="FF0000"/>
                      <w:highlight w:val="none"/>
                      <w:lang w:eastAsia="zh-CN"/>
                    </w:rPr>
                  </w:pPr>
                  <w:r>
                    <w:rPr>
                      <w:rFonts w:hint="eastAsia" w:cs="Times New Roman"/>
                      <w:color w:val="auto"/>
                      <w:sz w:val="24"/>
                      <w:szCs w:val="24"/>
                      <w:highlight w:val="none"/>
                      <w:lang w:val="en-US" w:eastAsia="zh-CN"/>
                    </w:rPr>
                    <w:t>***</w:t>
                  </w:r>
                </w:p>
              </w:tc>
              <w:tc>
                <w:tcPr>
                  <w:tcW w:w="2317" w:type="dxa"/>
                  <w:vMerge w:val="restart"/>
                  <w:vAlign w:val="center"/>
                </w:tcPr>
                <w:p w14:paraId="21EB27C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达标排放</w:t>
                  </w:r>
                </w:p>
              </w:tc>
            </w:tr>
            <w:tr w14:paraId="1652B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640" w:type="dxa"/>
                  <w:vMerge w:val="continue"/>
                  <w:vAlign w:val="center"/>
                </w:tcPr>
                <w:p w14:paraId="6F216C11">
                  <w:pPr>
                    <w:jc w:val="center"/>
                    <w:rPr>
                      <w:rFonts w:hint="default" w:ascii="Times New Roman" w:hAnsi="Times New Roman" w:cs="Times New Roman"/>
                      <w:color w:val="auto"/>
                      <w:highlight w:val="none"/>
                    </w:rPr>
                  </w:pPr>
                </w:p>
              </w:tc>
              <w:tc>
                <w:tcPr>
                  <w:tcW w:w="651" w:type="dxa"/>
                  <w:vMerge w:val="continue"/>
                  <w:vAlign w:val="center"/>
                </w:tcPr>
                <w:p w14:paraId="00CECBDC">
                  <w:pPr>
                    <w:jc w:val="center"/>
                    <w:rPr>
                      <w:rFonts w:hint="default" w:ascii="Times New Roman" w:hAnsi="Times New Roman" w:cs="Times New Roman"/>
                      <w:color w:val="auto"/>
                      <w:highlight w:val="none"/>
                    </w:rPr>
                  </w:pPr>
                </w:p>
              </w:tc>
              <w:tc>
                <w:tcPr>
                  <w:tcW w:w="1167" w:type="dxa"/>
                  <w:vAlign w:val="center"/>
                </w:tcPr>
                <w:p w14:paraId="750ED75B">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危废暂存库</w:t>
                  </w:r>
                </w:p>
              </w:tc>
              <w:tc>
                <w:tcPr>
                  <w:tcW w:w="3403" w:type="dxa"/>
                  <w:vAlign w:val="center"/>
                </w:tcPr>
                <w:p w14:paraId="3DB0931C">
                  <w:pPr>
                    <w:jc w:val="center"/>
                    <w:rPr>
                      <w:rFonts w:hint="default" w:ascii="Times New Roman" w:hAnsi="Times New Roman" w:cs="Times New Roman"/>
                      <w:color w:val="FF0000"/>
                      <w:highlight w:val="none"/>
                    </w:rPr>
                  </w:pPr>
                  <w:r>
                    <w:rPr>
                      <w:rFonts w:hint="eastAsia" w:cs="Times New Roman"/>
                      <w:color w:val="auto"/>
                      <w:sz w:val="24"/>
                      <w:szCs w:val="24"/>
                      <w:highlight w:val="none"/>
                      <w:lang w:val="en-US" w:eastAsia="zh-CN"/>
                    </w:rPr>
                    <w:t>***</w:t>
                  </w:r>
                </w:p>
              </w:tc>
              <w:tc>
                <w:tcPr>
                  <w:tcW w:w="2317" w:type="dxa"/>
                  <w:vMerge w:val="continue"/>
                  <w:vAlign w:val="center"/>
                </w:tcPr>
                <w:p w14:paraId="431DAF2A">
                  <w:pPr>
                    <w:jc w:val="center"/>
                    <w:rPr>
                      <w:rFonts w:hint="default" w:ascii="Times New Roman" w:hAnsi="Times New Roman" w:cs="Times New Roman"/>
                      <w:color w:val="auto"/>
                      <w:highlight w:val="none"/>
                    </w:rPr>
                  </w:pPr>
                </w:p>
              </w:tc>
            </w:tr>
            <w:tr w14:paraId="0CDC3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40" w:type="dxa"/>
                  <w:vMerge w:val="continue"/>
                  <w:vAlign w:val="center"/>
                </w:tcPr>
                <w:p w14:paraId="00DCE8D9">
                  <w:pPr>
                    <w:jc w:val="center"/>
                    <w:rPr>
                      <w:rFonts w:hint="default" w:ascii="Times New Roman" w:hAnsi="Times New Roman" w:cs="Times New Roman"/>
                      <w:color w:val="auto"/>
                      <w:highlight w:val="none"/>
                    </w:rPr>
                  </w:pPr>
                </w:p>
              </w:tc>
              <w:tc>
                <w:tcPr>
                  <w:tcW w:w="651" w:type="dxa"/>
                  <w:vMerge w:val="restart"/>
                  <w:vAlign w:val="center"/>
                </w:tcPr>
                <w:p w14:paraId="76DF1A0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p>
              </w:tc>
              <w:tc>
                <w:tcPr>
                  <w:tcW w:w="1167" w:type="dxa"/>
                  <w:vAlign w:val="center"/>
                </w:tcPr>
                <w:p w14:paraId="6412A7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一般固废暂存区</w:t>
                  </w:r>
                </w:p>
              </w:tc>
              <w:tc>
                <w:tcPr>
                  <w:tcW w:w="3403" w:type="dxa"/>
                  <w:vAlign w:val="center"/>
                </w:tcPr>
                <w:p w14:paraId="382FD78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Merge w:val="restart"/>
                  <w:vAlign w:val="center"/>
                </w:tcPr>
                <w:p w14:paraId="404468B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r>
                    <w:rPr>
                      <w:rFonts w:hint="eastAsia" w:cs="Times New Roman"/>
                      <w:color w:val="auto"/>
                      <w:highlight w:val="none"/>
                      <w:lang w:val="en-US" w:eastAsia="zh-CN"/>
                    </w:rPr>
                    <w:t>不</w:t>
                  </w:r>
                  <w:r>
                    <w:rPr>
                      <w:rFonts w:hint="default" w:ascii="Times New Roman" w:hAnsi="Times New Roman" w:cs="Times New Roman"/>
                      <w:color w:val="auto"/>
                      <w:highlight w:val="none"/>
                    </w:rPr>
                    <w:t>排放</w:t>
                  </w:r>
                </w:p>
              </w:tc>
            </w:tr>
            <w:tr w14:paraId="73AC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40" w:type="dxa"/>
                  <w:vMerge w:val="continue"/>
                  <w:vAlign w:val="center"/>
                </w:tcPr>
                <w:p w14:paraId="4F7C3B9D">
                  <w:pPr>
                    <w:jc w:val="center"/>
                    <w:rPr>
                      <w:rFonts w:hint="default" w:ascii="Times New Roman" w:hAnsi="Times New Roman" w:cs="Times New Roman"/>
                      <w:color w:val="auto"/>
                      <w:highlight w:val="none"/>
                    </w:rPr>
                  </w:pPr>
                </w:p>
              </w:tc>
              <w:tc>
                <w:tcPr>
                  <w:tcW w:w="651" w:type="dxa"/>
                  <w:vMerge w:val="continue"/>
                  <w:vAlign w:val="center"/>
                </w:tcPr>
                <w:p w14:paraId="0C1A6A9B">
                  <w:pPr>
                    <w:jc w:val="center"/>
                    <w:rPr>
                      <w:rFonts w:hint="default" w:ascii="Times New Roman" w:hAnsi="Times New Roman" w:cs="Times New Roman"/>
                      <w:color w:val="auto"/>
                      <w:highlight w:val="none"/>
                    </w:rPr>
                  </w:pPr>
                </w:p>
              </w:tc>
              <w:tc>
                <w:tcPr>
                  <w:tcW w:w="1167" w:type="dxa"/>
                  <w:vAlign w:val="center"/>
                </w:tcPr>
                <w:p w14:paraId="16CF3AC5">
                  <w:pPr>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危险</w:t>
                  </w:r>
                  <w:r>
                    <w:rPr>
                      <w:rFonts w:hint="eastAsia" w:cs="Times New Roman"/>
                      <w:color w:val="auto"/>
                      <w:highlight w:val="none"/>
                      <w:lang w:val="en-US" w:eastAsia="zh-CN"/>
                    </w:rPr>
                    <w:t>暂存库</w:t>
                  </w:r>
                </w:p>
              </w:tc>
              <w:tc>
                <w:tcPr>
                  <w:tcW w:w="3403" w:type="dxa"/>
                  <w:vAlign w:val="center"/>
                </w:tcPr>
                <w:p w14:paraId="629A325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317" w:type="dxa"/>
                  <w:vMerge w:val="continue"/>
                  <w:vAlign w:val="center"/>
                </w:tcPr>
                <w:p w14:paraId="6A3043F2">
                  <w:pPr>
                    <w:jc w:val="center"/>
                    <w:rPr>
                      <w:rFonts w:hint="default" w:ascii="Times New Roman" w:hAnsi="Times New Roman" w:cs="Times New Roman"/>
                      <w:color w:val="auto"/>
                      <w:highlight w:val="none"/>
                    </w:rPr>
                  </w:pPr>
                </w:p>
              </w:tc>
            </w:tr>
            <w:tr w14:paraId="77175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40" w:type="dxa"/>
                  <w:vMerge w:val="continue"/>
                  <w:vAlign w:val="center"/>
                </w:tcPr>
                <w:p w14:paraId="22EC1E33">
                  <w:pPr>
                    <w:jc w:val="center"/>
                    <w:rPr>
                      <w:rFonts w:hint="default" w:ascii="Times New Roman" w:hAnsi="Times New Roman" w:cs="Times New Roman"/>
                      <w:color w:val="auto"/>
                      <w:highlight w:val="none"/>
                    </w:rPr>
                  </w:pPr>
                </w:p>
              </w:tc>
              <w:tc>
                <w:tcPr>
                  <w:tcW w:w="1818" w:type="dxa"/>
                  <w:gridSpan w:val="2"/>
                  <w:vAlign w:val="center"/>
                </w:tcPr>
                <w:p w14:paraId="041BD16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噪声</w:t>
                  </w:r>
                </w:p>
              </w:tc>
              <w:tc>
                <w:tcPr>
                  <w:tcW w:w="3403" w:type="dxa"/>
                  <w:vAlign w:val="center"/>
                </w:tcPr>
                <w:p w14:paraId="5F0EFFE5">
                  <w:pPr>
                    <w:jc w:val="center"/>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1"/>
                      <w:szCs w:val="21"/>
                      <w:highlight w:val="none"/>
                    </w:rPr>
                    <w:t>厂房隔声、减震基础</w:t>
                  </w:r>
                </w:p>
              </w:tc>
              <w:tc>
                <w:tcPr>
                  <w:tcW w:w="2317" w:type="dxa"/>
                  <w:vAlign w:val="center"/>
                </w:tcPr>
                <w:p w14:paraId="03E48EB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达标排放</w:t>
                  </w:r>
                </w:p>
              </w:tc>
            </w:tr>
            <w:tr w14:paraId="196CA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40" w:type="dxa"/>
                  <w:vMerge w:val="continue"/>
                  <w:vAlign w:val="center"/>
                </w:tcPr>
                <w:p w14:paraId="05BDC90B">
                  <w:pPr>
                    <w:jc w:val="center"/>
                    <w:rPr>
                      <w:rFonts w:hint="default" w:ascii="Times New Roman" w:hAnsi="Times New Roman" w:cs="Times New Roman"/>
                      <w:color w:val="auto"/>
                      <w:highlight w:val="none"/>
                    </w:rPr>
                  </w:pPr>
                </w:p>
              </w:tc>
              <w:tc>
                <w:tcPr>
                  <w:tcW w:w="1818" w:type="dxa"/>
                  <w:gridSpan w:val="2"/>
                  <w:vAlign w:val="center"/>
                </w:tcPr>
                <w:p w14:paraId="0536C79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事故池</w:t>
                  </w:r>
                </w:p>
              </w:tc>
              <w:tc>
                <w:tcPr>
                  <w:tcW w:w="3403" w:type="dxa"/>
                  <w:vAlign w:val="center"/>
                </w:tcPr>
                <w:p w14:paraId="2BC5A1F2">
                  <w:pPr>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2317" w:type="dxa"/>
                  <w:vAlign w:val="center"/>
                </w:tcPr>
                <w:p w14:paraId="5D882E20">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依托现有</w:t>
                  </w:r>
                </w:p>
              </w:tc>
            </w:tr>
          </w:tbl>
          <w:p w14:paraId="3BD3D467">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3、主要产品方案</w:t>
            </w:r>
          </w:p>
          <w:p w14:paraId="40639878">
            <w:pPr>
              <w:adjustRightInd w:val="0"/>
              <w:snapToGrid w:val="0"/>
              <w:spacing w:line="360" w:lineRule="auto"/>
              <w:ind w:firstLine="442" w:firstLineChars="200"/>
              <w:jc w:val="center"/>
              <w:rPr>
                <w:rFonts w:hint="eastAsia" w:cs="Times New Roman"/>
                <w:b/>
                <w:bCs/>
                <w:color w:val="auto"/>
                <w:sz w:val="22"/>
                <w:szCs w:val="22"/>
                <w:highlight w:val="none"/>
                <w:lang w:val="en-US" w:eastAsia="zh-CN"/>
              </w:rPr>
            </w:pPr>
            <w:r>
              <w:rPr>
                <w:rFonts w:hint="eastAsia" w:cs="Times New Roman"/>
                <w:b/>
                <w:bCs/>
                <w:color w:val="auto"/>
                <w:sz w:val="22"/>
                <w:szCs w:val="22"/>
                <w:highlight w:val="none"/>
                <w:lang w:val="en-US" w:eastAsia="zh-CN"/>
              </w:rPr>
              <w:t>略</w:t>
            </w:r>
          </w:p>
          <w:p w14:paraId="7E8F06CF">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4、主要生产设备清单</w:t>
            </w:r>
          </w:p>
          <w:p w14:paraId="06E30B58">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项目实施后，全厂主要生产设备见下表。</w:t>
            </w:r>
          </w:p>
          <w:p w14:paraId="034E537E">
            <w:pPr>
              <w:pStyle w:val="37"/>
              <w:rPr>
                <w:rFonts w:hint="default" w:ascii="Times New Roman" w:hAnsi="Times New Roman" w:cs="Times New Roman"/>
                <w:color w:val="auto"/>
                <w:highlight w:val="none"/>
              </w:rPr>
            </w:pPr>
            <w:r>
              <w:rPr>
                <w:rFonts w:hint="default" w:ascii="Times New Roman" w:hAnsi="Times New Roman" w:cs="Times New Roman"/>
                <w:color w:val="auto"/>
                <w:highlight w:val="none"/>
              </w:rPr>
              <w:t>表2.3  主要设备表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87"/>
              <w:gridCol w:w="1203"/>
              <w:gridCol w:w="1868"/>
              <w:gridCol w:w="1739"/>
              <w:gridCol w:w="1292"/>
              <w:gridCol w:w="1726"/>
            </w:tblGrid>
            <w:tr w14:paraId="414C07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8" w:hRule="atLeast"/>
                <w:jc w:val="center"/>
              </w:trPr>
              <w:tc>
                <w:tcPr>
                  <w:tcW w:w="478" w:type="dxa"/>
                  <w:vAlign w:val="center"/>
                </w:tcPr>
                <w:p w14:paraId="7EA1E57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3012" w:type="dxa"/>
                  <w:gridSpan w:val="2"/>
                  <w:vAlign w:val="center"/>
                </w:tcPr>
                <w:p w14:paraId="1EB7185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名称</w:t>
                  </w:r>
                </w:p>
              </w:tc>
              <w:tc>
                <w:tcPr>
                  <w:tcW w:w="1706" w:type="dxa"/>
                  <w:vAlign w:val="center"/>
                </w:tcPr>
                <w:p w14:paraId="6A56775E">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规格型号</w:t>
                  </w:r>
                </w:p>
              </w:tc>
              <w:tc>
                <w:tcPr>
                  <w:tcW w:w="1267" w:type="dxa"/>
                  <w:vAlign w:val="center"/>
                </w:tcPr>
                <w:p w14:paraId="05E4E2BD">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数量（台/套）</w:t>
                  </w:r>
                </w:p>
              </w:tc>
              <w:tc>
                <w:tcPr>
                  <w:tcW w:w="1693" w:type="dxa"/>
                  <w:vAlign w:val="center"/>
                </w:tcPr>
                <w:p w14:paraId="759E78DF">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备注</w:t>
                  </w:r>
                </w:p>
              </w:tc>
            </w:tr>
            <w:tr w14:paraId="77CAB8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8" w:hRule="atLeast"/>
                <w:jc w:val="center"/>
              </w:trPr>
              <w:tc>
                <w:tcPr>
                  <w:tcW w:w="478" w:type="dxa"/>
                  <w:vAlign w:val="center"/>
                </w:tcPr>
                <w:p w14:paraId="0A59AF7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80" w:type="dxa"/>
                  <w:vMerge w:val="restart"/>
                  <w:vAlign w:val="center"/>
                </w:tcPr>
                <w:p w14:paraId="245A95F2">
                  <w:pPr>
                    <w:jc w:val="center"/>
                    <w:rPr>
                      <w:rFonts w:hint="default" w:ascii="Times New Roman" w:hAnsi="Times New Roman" w:cs="Times New Roman"/>
                      <w:color w:val="auto"/>
                      <w:highlight w:val="none"/>
                    </w:rPr>
                  </w:pPr>
                  <w:r>
                    <w:rPr>
                      <w:rFonts w:hint="eastAsia" w:cs="Times New Roman"/>
                      <w:color w:val="auto"/>
                      <w:highlight w:val="none"/>
                      <w:lang w:eastAsia="zh-CN"/>
                    </w:rPr>
                    <w:t>生产厂房二</w:t>
                  </w:r>
                  <w:r>
                    <w:rPr>
                      <w:rFonts w:hint="default" w:ascii="Times New Roman" w:hAnsi="Times New Roman" w:cs="Times New Roman"/>
                      <w:color w:val="auto"/>
                      <w:highlight w:val="none"/>
                    </w:rPr>
                    <w:t>（钙钛矿研究院）</w:t>
                  </w:r>
                </w:p>
              </w:tc>
              <w:tc>
                <w:tcPr>
                  <w:tcW w:w="1832" w:type="dxa"/>
                  <w:vAlign w:val="center"/>
                </w:tcPr>
                <w:p w14:paraId="4533F5A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63B4270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536DD6F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1595F2A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7F292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391B944A">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w:t>
                  </w:r>
                </w:p>
              </w:tc>
              <w:tc>
                <w:tcPr>
                  <w:tcW w:w="1180" w:type="dxa"/>
                  <w:vMerge w:val="continue"/>
                  <w:vAlign w:val="center"/>
                </w:tcPr>
                <w:p w14:paraId="0E846A44">
                  <w:pPr>
                    <w:jc w:val="center"/>
                    <w:rPr>
                      <w:rFonts w:hint="default" w:ascii="Times New Roman" w:hAnsi="Times New Roman" w:cs="Times New Roman"/>
                      <w:color w:val="auto"/>
                      <w:highlight w:val="none"/>
                    </w:rPr>
                  </w:pPr>
                </w:p>
              </w:tc>
              <w:tc>
                <w:tcPr>
                  <w:tcW w:w="1832" w:type="dxa"/>
                  <w:vAlign w:val="center"/>
                </w:tcPr>
                <w:p w14:paraId="138D017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5179711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1374CF3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7964291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007571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462003E5">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p>
              </w:tc>
              <w:tc>
                <w:tcPr>
                  <w:tcW w:w="1180" w:type="dxa"/>
                  <w:vMerge w:val="continue"/>
                  <w:vAlign w:val="center"/>
                </w:tcPr>
                <w:p w14:paraId="6884608F">
                  <w:pPr>
                    <w:jc w:val="center"/>
                    <w:rPr>
                      <w:rFonts w:hint="default" w:ascii="Times New Roman" w:hAnsi="Times New Roman" w:cs="Times New Roman"/>
                      <w:color w:val="auto"/>
                      <w:highlight w:val="none"/>
                    </w:rPr>
                  </w:pPr>
                </w:p>
              </w:tc>
              <w:tc>
                <w:tcPr>
                  <w:tcW w:w="1832" w:type="dxa"/>
                  <w:vAlign w:val="center"/>
                </w:tcPr>
                <w:p w14:paraId="5E4C6F0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05AF094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211A3B4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13CBCD3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9E275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5EE3BAB8">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4</w:t>
                  </w:r>
                </w:p>
              </w:tc>
              <w:tc>
                <w:tcPr>
                  <w:tcW w:w="1180" w:type="dxa"/>
                  <w:vMerge w:val="continue"/>
                  <w:vAlign w:val="center"/>
                </w:tcPr>
                <w:p w14:paraId="1A760F0B">
                  <w:pPr>
                    <w:jc w:val="center"/>
                    <w:rPr>
                      <w:rFonts w:hint="default" w:ascii="Times New Roman" w:hAnsi="Times New Roman" w:cs="Times New Roman"/>
                      <w:color w:val="auto"/>
                      <w:highlight w:val="none"/>
                    </w:rPr>
                  </w:pPr>
                </w:p>
              </w:tc>
              <w:tc>
                <w:tcPr>
                  <w:tcW w:w="1832" w:type="dxa"/>
                  <w:vAlign w:val="center"/>
                </w:tcPr>
                <w:p w14:paraId="2344D58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47051A9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0B1238E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1E0F5E4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B6D3F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478" w:type="dxa"/>
                  <w:vAlign w:val="center"/>
                </w:tcPr>
                <w:p w14:paraId="746A0BF4">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5</w:t>
                  </w:r>
                </w:p>
              </w:tc>
              <w:tc>
                <w:tcPr>
                  <w:tcW w:w="1180" w:type="dxa"/>
                  <w:vMerge w:val="continue"/>
                  <w:vAlign w:val="center"/>
                </w:tcPr>
                <w:p w14:paraId="21A36696">
                  <w:pPr>
                    <w:jc w:val="center"/>
                    <w:rPr>
                      <w:rFonts w:hint="default" w:ascii="Times New Roman" w:hAnsi="Times New Roman" w:cs="Times New Roman"/>
                      <w:color w:val="auto"/>
                      <w:highlight w:val="none"/>
                    </w:rPr>
                  </w:pPr>
                </w:p>
              </w:tc>
              <w:tc>
                <w:tcPr>
                  <w:tcW w:w="1832" w:type="dxa"/>
                  <w:vAlign w:val="center"/>
                </w:tcPr>
                <w:p w14:paraId="07C060E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730ECE5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4B7B9A3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10AE07C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616ED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7467D8A1">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w:t>
                  </w:r>
                </w:p>
              </w:tc>
              <w:tc>
                <w:tcPr>
                  <w:tcW w:w="1180" w:type="dxa"/>
                  <w:vMerge w:val="continue"/>
                  <w:vAlign w:val="center"/>
                </w:tcPr>
                <w:p w14:paraId="2B1BD84F">
                  <w:pPr>
                    <w:jc w:val="center"/>
                    <w:rPr>
                      <w:rFonts w:hint="default" w:ascii="Times New Roman" w:hAnsi="Times New Roman" w:cs="Times New Roman"/>
                      <w:color w:val="auto"/>
                      <w:highlight w:val="none"/>
                    </w:rPr>
                  </w:pPr>
                </w:p>
              </w:tc>
              <w:tc>
                <w:tcPr>
                  <w:tcW w:w="1832" w:type="dxa"/>
                  <w:vAlign w:val="center"/>
                </w:tcPr>
                <w:p w14:paraId="38B0C3B6">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706" w:type="dxa"/>
                  <w:vAlign w:val="center"/>
                </w:tcPr>
                <w:p w14:paraId="342FD5C7">
                  <w:pPr>
                    <w:keepNext w:val="0"/>
                    <w:keepLines w:val="0"/>
                    <w:widowControl/>
                    <w:suppressLineNumbers w:val="0"/>
                    <w:jc w:val="center"/>
                    <w:textAlignment w:val="center"/>
                    <w:rPr>
                      <w:rFonts w:hint="default" w:ascii="Times New Roman" w:hAnsi="Times New Roman" w:eastAsia="微软雅黑" w:cs="Times New Roman"/>
                      <w:i w:val="0"/>
                      <w:iCs w:val="0"/>
                      <w:color w:val="auto"/>
                      <w:kern w:val="2"/>
                      <w:sz w:val="18"/>
                      <w:szCs w:val="18"/>
                      <w:highlight w:val="none"/>
                      <w:u w:val="none"/>
                      <w:lang w:val="en-US" w:eastAsia="zh-CN" w:bidi="ar-SA"/>
                    </w:rPr>
                  </w:pPr>
                  <w:r>
                    <w:rPr>
                      <w:rFonts w:hint="eastAsia" w:cs="Times New Roman"/>
                      <w:color w:val="auto"/>
                      <w:sz w:val="24"/>
                      <w:szCs w:val="24"/>
                      <w:highlight w:val="none"/>
                      <w:lang w:val="en-US" w:eastAsia="zh-CN"/>
                    </w:rPr>
                    <w:t>***</w:t>
                  </w:r>
                </w:p>
              </w:tc>
              <w:tc>
                <w:tcPr>
                  <w:tcW w:w="1267" w:type="dxa"/>
                  <w:vAlign w:val="center"/>
                </w:tcPr>
                <w:p w14:paraId="6ECC7A9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6D73A5D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C553F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31DD49A6">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7</w:t>
                  </w:r>
                </w:p>
              </w:tc>
              <w:tc>
                <w:tcPr>
                  <w:tcW w:w="1180" w:type="dxa"/>
                  <w:vMerge w:val="continue"/>
                  <w:vAlign w:val="center"/>
                </w:tcPr>
                <w:p w14:paraId="6C46A97E">
                  <w:pPr>
                    <w:jc w:val="center"/>
                    <w:rPr>
                      <w:rFonts w:hint="default" w:ascii="Times New Roman" w:hAnsi="Times New Roman" w:cs="Times New Roman"/>
                      <w:color w:val="auto"/>
                      <w:highlight w:val="none"/>
                    </w:rPr>
                  </w:pPr>
                </w:p>
              </w:tc>
              <w:tc>
                <w:tcPr>
                  <w:tcW w:w="1832" w:type="dxa"/>
                  <w:vAlign w:val="center"/>
                </w:tcPr>
                <w:p w14:paraId="15817AE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0E4340C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5C5FE05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7AECB6C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77949E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040A1470">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8</w:t>
                  </w:r>
                </w:p>
              </w:tc>
              <w:tc>
                <w:tcPr>
                  <w:tcW w:w="1180" w:type="dxa"/>
                  <w:vMerge w:val="continue"/>
                  <w:vAlign w:val="center"/>
                </w:tcPr>
                <w:p w14:paraId="3A7E5E20">
                  <w:pPr>
                    <w:jc w:val="center"/>
                    <w:rPr>
                      <w:rFonts w:hint="default" w:ascii="Times New Roman" w:hAnsi="Times New Roman" w:cs="Times New Roman"/>
                      <w:color w:val="auto"/>
                      <w:highlight w:val="none"/>
                    </w:rPr>
                  </w:pPr>
                </w:p>
              </w:tc>
              <w:tc>
                <w:tcPr>
                  <w:tcW w:w="1832" w:type="dxa"/>
                  <w:vAlign w:val="center"/>
                </w:tcPr>
                <w:p w14:paraId="3E1D1D12">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706" w:type="dxa"/>
                  <w:vAlign w:val="center"/>
                </w:tcPr>
                <w:p w14:paraId="3CABD2C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5B9184C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782CE25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F3855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73CFB3DF">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9</w:t>
                  </w:r>
                </w:p>
              </w:tc>
              <w:tc>
                <w:tcPr>
                  <w:tcW w:w="1180" w:type="dxa"/>
                  <w:vMerge w:val="continue"/>
                  <w:vAlign w:val="center"/>
                </w:tcPr>
                <w:p w14:paraId="4072B8CC">
                  <w:pPr>
                    <w:jc w:val="center"/>
                    <w:rPr>
                      <w:rFonts w:hint="default" w:ascii="Times New Roman" w:hAnsi="Times New Roman" w:cs="Times New Roman"/>
                      <w:color w:val="auto"/>
                      <w:highlight w:val="none"/>
                    </w:rPr>
                  </w:pPr>
                </w:p>
              </w:tc>
              <w:tc>
                <w:tcPr>
                  <w:tcW w:w="1832" w:type="dxa"/>
                  <w:vAlign w:val="center"/>
                </w:tcPr>
                <w:p w14:paraId="118BBAF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1D41CC8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3957370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2E3FDFB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AAC71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6D902D1E">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10</w:t>
                  </w:r>
                </w:p>
              </w:tc>
              <w:tc>
                <w:tcPr>
                  <w:tcW w:w="1180" w:type="dxa"/>
                  <w:vMerge w:val="continue"/>
                  <w:vAlign w:val="center"/>
                </w:tcPr>
                <w:p w14:paraId="1E48D74D">
                  <w:pPr>
                    <w:jc w:val="center"/>
                    <w:rPr>
                      <w:rFonts w:hint="default" w:ascii="Times New Roman" w:hAnsi="Times New Roman" w:cs="Times New Roman"/>
                      <w:color w:val="auto"/>
                      <w:highlight w:val="none"/>
                    </w:rPr>
                  </w:pPr>
                </w:p>
              </w:tc>
              <w:tc>
                <w:tcPr>
                  <w:tcW w:w="1832" w:type="dxa"/>
                  <w:vAlign w:val="center"/>
                </w:tcPr>
                <w:p w14:paraId="2889DD9F">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706" w:type="dxa"/>
                  <w:vAlign w:val="center"/>
                </w:tcPr>
                <w:p w14:paraId="03F3FB2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0B01DA69">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693" w:type="dxa"/>
                  <w:vAlign w:val="center"/>
                </w:tcPr>
                <w:p w14:paraId="1CD2FAC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4ED3D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04364469">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11</w:t>
                  </w:r>
                </w:p>
              </w:tc>
              <w:tc>
                <w:tcPr>
                  <w:tcW w:w="1180" w:type="dxa"/>
                  <w:vMerge w:val="continue"/>
                  <w:vAlign w:val="center"/>
                </w:tcPr>
                <w:p w14:paraId="725CD5DD">
                  <w:pPr>
                    <w:jc w:val="center"/>
                    <w:rPr>
                      <w:rFonts w:hint="default" w:ascii="Times New Roman" w:hAnsi="Times New Roman" w:cs="Times New Roman"/>
                      <w:color w:val="auto"/>
                      <w:highlight w:val="none"/>
                    </w:rPr>
                  </w:pPr>
                </w:p>
              </w:tc>
              <w:tc>
                <w:tcPr>
                  <w:tcW w:w="1832" w:type="dxa"/>
                  <w:vAlign w:val="center"/>
                </w:tcPr>
                <w:p w14:paraId="3612CA7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5FA0F7D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69A48D6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7722C91F">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w:t>
                  </w:r>
                </w:p>
              </w:tc>
            </w:tr>
            <w:tr w14:paraId="62C99F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4887E1B3">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12</w:t>
                  </w:r>
                </w:p>
              </w:tc>
              <w:tc>
                <w:tcPr>
                  <w:tcW w:w="1180" w:type="dxa"/>
                  <w:vMerge w:val="continue"/>
                  <w:vAlign w:val="center"/>
                </w:tcPr>
                <w:p w14:paraId="71FD1D13">
                  <w:pPr>
                    <w:jc w:val="center"/>
                    <w:rPr>
                      <w:rFonts w:hint="default" w:ascii="Times New Roman" w:hAnsi="Times New Roman" w:cs="Times New Roman"/>
                      <w:color w:val="auto"/>
                      <w:highlight w:val="none"/>
                    </w:rPr>
                  </w:pPr>
                </w:p>
              </w:tc>
              <w:tc>
                <w:tcPr>
                  <w:tcW w:w="1832" w:type="dxa"/>
                  <w:vAlign w:val="center"/>
                </w:tcPr>
                <w:p w14:paraId="7852354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6223ECC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3776FE2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732A649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42DE4A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4C568B25">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13</w:t>
                  </w:r>
                </w:p>
              </w:tc>
              <w:tc>
                <w:tcPr>
                  <w:tcW w:w="1180" w:type="dxa"/>
                  <w:vMerge w:val="continue"/>
                  <w:vAlign w:val="center"/>
                </w:tcPr>
                <w:p w14:paraId="40560FC5">
                  <w:pPr>
                    <w:jc w:val="center"/>
                    <w:rPr>
                      <w:rFonts w:hint="default" w:ascii="Times New Roman" w:hAnsi="Times New Roman" w:cs="Times New Roman"/>
                      <w:color w:val="auto"/>
                      <w:highlight w:val="none"/>
                    </w:rPr>
                  </w:pPr>
                </w:p>
              </w:tc>
              <w:tc>
                <w:tcPr>
                  <w:tcW w:w="1832" w:type="dxa"/>
                  <w:vAlign w:val="center"/>
                </w:tcPr>
                <w:p w14:paraId="1F4B6C5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2A878D4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75BC701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6B3DE47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393AE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5A757BB8">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14</w:t>
                  </w:r>
                </w:p>
              </w:tc>
              <w:tc>
                <w:tcPr>
                  <w:tcW w:w="1180" w:type="dxa"/>
                  <w:vMerge w:val="continue"/>
                  <w:vAlign w:val="center"/>
                </w:tcPr>
                <w:p w14:paraId="16E00356">
                  <w:pPr>
                    <w:jc w:val="center"/>
                    <w:rPr>
                      <w:rFonts w:hint="default" w:ascii="Times New Roman" w:hAnsi="Times New Roman" w:cs="Times New Roman"/>
                      <w:color w:val="auto"/>
                      <w:highlight w:val="none"/>
                    </w:rPr>
                  </w:pPr>
                </w:p>
              </w:tc>
              <w:tc>
                <w:tcPr>
                  <w:tcW w:w="1832" w:type="dxa"/>
                  <w:vAlign w:val="center"/>
                </w:tcPr>
                <w:p w14:paraId="53C926B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5B9E8AC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6F86ABF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2F38821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04A5F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1651201F">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15</w:t>
                  </w:r>
                </w:p>
              </w:tc>
              <w:tc>
                <w:tcPr>
                  <w:tcW w:w="1180" w:type="dxa"/>
                  <w:vMerge w:val="continue"/>
                  <w:vAlign w:val="center"/>
                </w:tcPr>
                <w:p w14:paraId="45EB1498">
                  <w:pPr>
                    <w:jc w:val="center"/>
                    <w:rPr>
                      <w:rFonts w:hint="default" w:ascii="Times New Roman" w:hAnsi="Times New Roman" w:cs="Times New Roman"/>
                      <w:color w:val="auto"/>
                      <w:highlight w:val="none"/>
                    </w:rPr>
                  </w:pPr>
                </w:p>
              </w:tc>
              <w:tc>
                <w:tcPr>
                  <w:tcW w:w="1832" w:type="dxa"/>
                  <w:vAlign w:val="center"/>
                </w:tcPr>
                <w:p w14:paraId="5A542EE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4AED34D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08DD5DD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26B7682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130E8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784F4EF3">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p>
              </w:tc>
              <w:tc>
                <w:tcPr>
                  <w:tcW w:w="1180" w:type="dxa"/>
                  <w:vMerge w:val="continue"/>
                  <w:vAlign w:val="center"/>
                </w:tcPr>
                <w:p w14:paraId="59D0BC08">
                  <w:pPr>
                    <w:jc w:val="center"/>
                    <w:rPr>
                      <w:rFonts w:hint="default" w:ascii="Times New Roman" w:hAnsi="Times New Roman" w:cs="Times New Roman"/>
                      <w:color w:val="auto"/>
                      <w:highlight w:val="none"/>
                    </w:rPr>
                  </w:pPr>
                </w:p>
              </w:tc>
              <w:tc>
                <w:tcPr>
                  <w:tcW w:w="1832" w:type="dxa"/>
                  <w:vAlign w:val="center"/>
                </w:tcPr>
                <w:p w14:paraId="382197F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5D22E5D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277F0CA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17E054D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B2E77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2E5576DC">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7</w:t>
                  </w:r>
                </w:p>
              </w:tc>
              <w:tc>
                <w:tcPr>
                  <w:tcW w:w="1180" w:type="dxa"/>
                  <w:vMerge w:val="continue"/>
                  <w:vAlign w:val="center"/>
                </w:tcPr>
                <w:p w14:paraId="1D3F6457">
                  <w:pPr>
                    <w:jc w:val="center"/>
                    <w:rPr>
                      <w:rFonts w:hint="default" w:ascii="Times New Roman" w:hAnsi="Times New Roman" w:cs="Times New Roman"/>
                      <w:color w:val="auto"/>
                      <w:highlight w:val="none"/>
                    </w:rPr>
                  </w:pPr>
                </w:p>
              </w:tc>
              <w:tc>
                <w:tcPr>
                  <w:tcW w:w="1832" w:type="dxa"/>
                  <w:vAlign w:val="center"/>
                </w:tcPr>
                <w:p w14:paraId="6D8BC8F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01ECCAA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22196ED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693" w:type="dxa"/>
                  <w:vAlign w:val="center"/>
                </w:tcPr>
                <w:p w14:paraId="5800CA3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08B6AF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0DDC486E">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8</w:t>
                  </w:r>
                </w:p>
              </w:tc>
              <w:tc>
                <w:tcPr>
                  <w:tcW w:w="1180" w:type="dxa"/>
                  <w:vMerge w:val="continue"/>
                  <w:vAlign w:val="center"/>
                </w:tcPr>
                <w:p w14:paraId="77C0D096">
                  <w:pPr>
                    <w:jc w:val="center"/>
                    <w:rPr>
                      <w:rFonts w:hint="default" w:ascii="Times New Roman" w:hAnsi="Times New Roman" w:cs="Times New Roman"/>
                      <w:color w:val="auto"/>
                      <w:highlight w:val="none"/>
                    </w:rPr>
                  </w:pPr>
                </w:p>
              </w:tc>
              <w:tc>
                <w:tcPr>
                  <w:tcW w:w="1832" w:type="dxa"/>
                  <w:vAlign w:val="center"/>
                </w:tcPr>
                <w:p w14:paraId="7209E701">
                  <w:pPr>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1706" w:type="dxa"/>
                  <w:vAlign w:val="center"/>
                </w:tcPr>
                <w:p w14:paraId="0689E20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6C6CFB79">
                  <w:pPr>
                    <w:jc w:val="center"/>
                    <w:rPr>
                      <w:rFonts w:hint="eastAsia"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693" w:type="dxa"/>
                  <w:vAlign w:val="center"/>
                </w:tcPr>
                <w:p w14:paraId="4E3C67E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075B9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478" w:type="dxa"/>
                  <w:vAlign w:val="center"/>
                </w:tcPr>
                <w:p w14:paraId="3D1F6776">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9</w:t>
                  </w:r>
                </w:p>
              </w:tc>
              <w:tc>
                <w:tcPr>
                  <w:tcW w:w="1180" w:type="dxa"/>
                  <w:vMerge w:val="continue"/>
                  <w:vAlign w:val="center"/>
                </w:tcPr>
                <w:p w14:paraId="4730F009">
                  <w:pPr>
                    <w:jc w:val="center"/>
                    <w:rPr>
                      <w:rFonts w:hint="default" w:ascii="Times New Roman" w:hAnsi="Times New Roman" w:cs="Times New Roman"/>
                      <w:color w:val="auto"/>
                      <w:highlight w:val="none"/>
                    </w:rPr>
                  </w:pPr>
                </w:p>
              </w:tc>
              <w:tc>
                <w:tcPr>
                  <w:tcW w:w="1832" w:type="dxa"/>
                  <w:vAlign w:val="center"/>
                </w:tcPr>
                <w:p w14:paraId="3F9DA2A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706" w:type="dxa"/>
                  <w:vAlign w:val="center"/>
                </w:tcPr>
                <w:p w14:paraId="4286910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7" w:type="dxa"/>
                  <w:vAlign w:val="center"/>
                </w:tcPr>
                <w:p w14:paraId="082D233E">
                  <w:pPr>
                    <w:jc w:val="center"/>
                    <w:rPr>
                      <w:rFonts w:hint="eastAsia"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693" w:type="dxa"/>
                  <w:vAlign w:val="center"/>
                </w:tcPr>
                <w:p w14:paraId="6534DA5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66BEFA35">
            <w:pPr>
              <w:adjustRightInd w:val="0"/>
              <w:snapToGrid w:val="0"/>
              <w:spacing w:line="360" w:lineRule="auto"/>
              <w:ind w:firstLine="482" w:firstLineChars="200"/>
              <w:jc w:val="left"/>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5、主要原辅材料及燃料的种类和用量</w:t>
            </w:r>
          </w:p>
          <w:p w14:paraId="5B0DF463">
            <w:pPr>
              <w:spacing w:line="360" w:lineRule="auto"/>
              <w:ind w:firstLine="480"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（1）项目原辅材料表</w:t>
            </w:r>
          </w:p>
          <w:p w14:paraId="3F34E424">
            <w:pPr>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表2.</w:t>
            </w: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rPr>
              <w:t xml:space="preserve">  项目原辅材料表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518"/>
              <w:gridCol w:w="520"/>
              <w:gridCol w:w="1039"/>
              <w:gridCol w:w="1297"/>
              <w:gridCol w:w="1002"/>
              <w:gridCol w:w="818"/>
              <w:gridCol w:w="1039"/>
              <w:gridCol w:w="1039"/>
              <w:gridCol w:w="1043"/>
            </w:tblGrid>
            <w:tr w14:paraId="4C7640A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8" w:hRule="atLeast"/>
                <w:jc w:val="center"/>
              </w:trPr>
              <w:tc>
                <w:tcPr>
                  <w:tcW w:w="1039" w:type="dxa"/>
                  <w:gridSpan w:val="2"/>
                  <w:tcMar>
                    <w:left w:w="0" w:type="dxa"/>
                    <w:right w:w="0" w:type="dxa"/>
                  </w:tcMar>
                  <w:vAlign w:val="center"/>
                </w:tcPr>
                <w:p w14:paraId="7AF31BF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类别</w:t>
                  </w:r>
                </w:p>
              </w:tc>
              <w:tc>
                <w:tcPr>
                  <w:tcW w:w="1039" w:type="dxa"/>
                  <w:tcMar>
                    <w:left w:w="0" w:type="dxa"/>
                    <w:right w:w="0" w:type="dxa"/>
                  </w:tcMar>
                  <w:vAlign w:val="center"/>
                </w:tcPr>
                <w:p w14:paraId="220B62D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297" w:type="dxa"/>
                  <w:tcMar>
                    <w:left w:w="0" w:type="dxa"/>
                    <w:right w:w="0" w:type="dxa"/>
                  </w:tcMar>
                  <w:vAlign w:val="center"/>
                </w:tcPr>
                <w:p w14:paraId="4076996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组分/规格</w:t>
                  </w:r>
                </w:p>
              </w:tc>
              <w:tc>
                <w:tcPr>
                  <w:tcW w:w="1002" w:type="dxa"/>
                  <w:tcMar>
                    <w:left w:w="0" w:type="dxa"/>
                    <w:right w:w="0" w:type="dxa"/>
                  </w:tcMar>
                  <w:vAlign w:val="center"/>
                </w:tcPr>
                <w:p w14:paraId="6CF9DA4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年耗量</w:t>
                  </w:r>
                </w:p>
              </w:tc>
              <w:tc>
                <w:tcPr>
                  <w:tcW w:w="818" w:type="dxa"/>
                  <w:vAlign w:val="center"/>
                </w:tcPr>
                <w:p w14:paraId="704AA52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最大储存</w:t>
                  </w:r>
                </w:p>
              </w:tc>
              <w:tc>
                <w:tcPr>
                  <w:tcW w:w="1039" w:type="dxa"/>
                  <w:tcMar>
                    <w:left w:w="0" w:type="dxa"/>
                    <w:right w:w="0" w:type="dxa"/>
                  </w:tcMar>
                  <w:vAlign w:val="center"/>
                </w:tcPr>
                <w:p w14:paraId="7E0BC83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贮存规格</w:t>
                  </w:r>
                </w:p>
              </w:tc>
              <w:tc>
                <w:tcPr>
                  <w:tcW w:w="1039" w:type="dxa"/>
                  <w:tcMar>
                    <w:left w:w="0" w:type="dxa"/>
                    <w:right w:w="0" w:type="dxa"/>
                  </w:tcMar>
                  <w:vAlign w:val="center"/>
                </w:tcPr>
                <w:p w14:paraId="5F2D0E8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贮存地点</w:t>
                  </w:r>
                </w:p>
              </w:tc>
              <w:tc>
                <w:tcPr>
                  <w:tcW w:w="1043" w:type="dxa"/>
                  <w:tcMar>
                    <w:left w:w="0" w:type="dxa"/>
                    <w:right w:w="0" w:type="dxa"/>
                  </w:tcMar>
                  <w:vAlign w:val="center"/>
                </w:tcPr>
                <w:p w14:paraId="2BC823F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来源及运输</w:t>
                  </w:r>
                </w:p>
              </w:tc>
            </w:tr>
            <w:tr w14:paraId="2EDB545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restart"/>
                  <w:tcMar>
                    <w:left w:w="0" w:type="dxa"/>
                    <w:right w:w="0" w:type="dxa"/>
                  </w:tcMar>
                  <w:vAlign w:val="center"/>
                </w:tcPr>
                <w:p w14:paraId="45456D2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生产厂房一</w:t>
                  </w:r>
                </w:p>
              </w:tc>
              <w:tc>
                <w:tcPr>
                  <w:tcW w:w="520" w:type="dxa"/>
                  <w:vMerge w:val="restart"/>
                  <w:tcMar>
                    <w:left w:w="0" w:type="dxa"/>
                    <w:right w:w="0" w:type="dxa"/>
                  </w:tcMar>
                  <w:vAlign w:val="center"/>
                </w:tcPr>
                <w:p w14:paraId="4863B70C">
                  <w:pPr>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5B31A447">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24C2C6F3">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80CE9E8">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627583B">
                  <w:pPr>
                    <w:rPr>
                      <w:rFonts w:hint="default"/>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1D3F3E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0A6810C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0D0F594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F46D20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EC5E27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145BACC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12049D4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483CEFA">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7B700317">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3766D6D2">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1800EE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C6541F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96D254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104667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7B06199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2FB4828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7C4FBEA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2DE000C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7CF943C7">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29A7750B">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763433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2E6CACE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642A580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77F5AAB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442AC9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1E9197C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4CBBC8A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2201BE3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7A9678F1">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096C875B">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0AD1D71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7C4A8F2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496452B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61ED5D2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4CBCD2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74B4B53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0D15588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3D360BD9">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1096" w:hRule="atLeast"/>
                <w:jc w:val="center"/>
              </w:trPr>
              <w:tc>
                <w:tcPr>
                  <w:tcW w:w="519" w:type="dxa"/>
                  <w:vMerge w:val="continue"/>
                  <w:tcMar>
                    <w:left w:w="0" w:type="dxa"/>
                    <w:right w:w="0" w:type="dxa"/>
                  </w:tcMar>
                  <w:vAlign w:val="center"/>
                </w:tcPr>
                <w:p w14:paraId="39D920F8">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06373C0A">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3A6EA23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2885658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0596E97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3FD1F16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2EAB518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3AE0489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1750CDF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792756F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73891C23">
                  <w:pPr>
                    <w:jc w:val="center"/>
                    <w:rPr>
                      <w:rFonts w:hint="default" w:ascii="Times New Roman" w:hAnsi="Times New Roman" w:cs="Times New Roman"/>
                      <w:color w:val="auto"/>
                      <w:highlight w:val="none"/>
                    </w:rPr>
                  </w:pPr>
                </w:p>
              </w:tc>
              <w:tc>
                <w:tcPr>
                  <w:tcW w:w="520" w:type="dxa"/>
                  <w:vMerge w:val="restart"/>
                  <w:tcMar>
                    <w:left w:w="0" w:type="dxa"/>
                    <w:right w:w="0" w:type="dxa"/>
                  </w:tcMar>
                  <w:vAlign w:val="center"/>
                </w:tcPr>
                <w:p w14:paraId="7B7E7C85">
                  <w:pPr>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32110D6">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2F9A954">
                  <w:pPr>
                    <w:rPr>
                      <w:rFonts w:hint="default"/>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E4380D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5A41710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5E5F222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BC90D9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90AB53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5761283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2557710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A173A4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59BA02DC">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47B28823">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7F5EBA4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22D7D55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7C6D78D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6109FE6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4297AC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53F14DE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0AEB433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2D83178A">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825" w:hRule="atLeast"/>
                <w:jc w:val="center"/>
              </w:trPr>
              <w:tc>
                <w:tcPr>
                  <w:tcW w:w="519" w:type="dxa"/>
                  <w:vMerge w:val="continue"/>
                  <w:tcMar>
                    <w:left w:w="0" w:type="dxa"/>
                    <w:right w:w="0" w:type="dxa"/>
                  </w:tcMar>
                  <w:vAlign w:val="center"/>
                </w:tcPr>
                <w:p w14:paraId="25F2BDCC">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7BB720ED">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AB0A33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4F13165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65E3B46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7EE55AF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FF7CF0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5970EEE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56C06C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FB02556">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53048EF9">
                  <w:pPr>
                    <w:jc w:val="center"/>
                    <w:rPr>
                      <w:rFonts w:hint="default" w:ascii="Times New Roman" w:hAnsi="Times New Roman" w:cs="Times New Roman"/>
                      <w:color w:val="auto"/>
                      <w:highlight w:val="none"/>
                    </w:rPr>
                  </w:pPr>
                </w:p>
              </w:tc>
              <w:tc>
                <w:tcPr>
                  <w:tcW w:w="520" w:type="dxa"/>
                  <w:vMerge w:val="restart"/>
                  <w:tcMar>
                    <w:left w:w="0" w:type="dxa"/>
                    <w:right w:w="0" w:type="dxa"/>
                  </w:tcMar>
                  <w:vAlign w:val="center"/>
                </w:tcPr>
                <w:p w14:paraId="141A68FE">
                  <w:pPr>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D5BCC3C">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7A25D23">
                  <w:pPr>
                    <w:rPr>
                      <w:rFonts w:hint="default"/>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D2A0B3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5514CF3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44555BB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79D12F1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CF30BB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6BEDAC4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6FB9CD0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6E895C1D">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301BE97C">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0F91C389">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2D5EDDF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01C515B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6EB6BA4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21B1E2E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29E122A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5F4F583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779894D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77A6D2FF">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1096" w:hRule="atLeast"/>
                <w:jc w:val="center"/>
              </w:trPr>
              <w:tc>
                <w:tcPr>
                  <w:tcW w:w="519" w:type="dxa"/>
                  <w:vMerge w:val="continue"/>
                  <w:tcMar>
                    <w:left w:w="0" w:type="dxa"/>
                    <w:right w:w="0" w:type="dxa"/>
                  </w:tcMar>
                  <w:vAlign w:val="center"/>
                </w:tcPr>
                <w:p w14:paraId="2DDC4ECD">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4F94B05B">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6888B3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693B411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D8B32B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95BEB9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A1C892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0AE27C1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DF2944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1DFC7956">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09D4CDD0">
                  <w:pPr>
                    <w:jc w:val="center"/>
                    <w:rPr>
                      <w:rFonts w:hint="default" w:ascii="Times New Roman" w:hAnsi="Times New Roman" w:cs="Times New Roman"/>
                      <w:color w:val="auto"/>
                      <w:highlight w:val="none"/>
                    </w:rPr>
                  </w:pPr>
                </w:p>
              </w:tc>
              <w:tc>
                <w:tcPr>
                  <w:tcW w:w="520" w:type="dxa"/>
                  <w:vMerge w:val="restart"/>
                  <w:tcMar>
                    <w:left w:w="0" w:type="dxa"/>
                    <w:right w:w="0" w:type="dxa"/>
                  </w:tcMar>
                  <w:vAlign w:val="center"/>
                </w:tcPr>
                <w:p w14:paraId="28C1133B">
                  <w:pPr>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26E059D4">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2CE1B3D">
                  <w:pPr>
                    <w:rPr>
                      <w:rFonts w:hint="default"/>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F10016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4390552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A05550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57843BE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D3E467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3397C06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C314C1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1DC0C3DA">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7B181308">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74C9850C">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20AA394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5CC3EFE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6C9D4E6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2FC983C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78C0D81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7FD2A0F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B47ADC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7CB0345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1096" w:hRule="atLeast"/>
                <w:jc w:val="center"/>
              </w:trPr>
              <w:tc>
                <w:tcPr>
                  <w:tcW w:w="519" w:type="dxa"/>
                  <w:vMerge w:val="continue"/>
                  <w:tcMar>
                    <w:left w:w="0" w:type="dxa"/>
                    <w:right w:w="0" w:type="dxa"/>
                  </w:tcMar>
                  <w:vAlign w:val="center"/>
                </w:tcPr>
                <w:p w14:paraId="6C1CF358">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053E1889">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6B2778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0C06711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2F81268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3803E4D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E000EE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39" w:type="dxa"/>
                  <w:tcMar>
                    <w:left w:w="0" w:type="dxa"/>
                    <w:right w:w="0" w:type="dxa"/>
                  </w:tcMar>
                  <w:vAlign w:val="center"/>
                </w:tcPr>
                <w:p w14:paraId="79D74AE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B3A1DD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21CEC5F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45A3D040">
                  <w:pPr>
                    <w:jc w:val="center"/>
                    <w:rPr>
                      <w:rFonts w:hint="default" w:ascii="Times New Roman" w:hAnsi="Times New Roman" w:cs="Times New Roman"/>
                      <w:color w:val="auto"/>
                      <w:highlight w:val="none"/>
                    </w:rPr>
                  </w:pPr>
                </w:p>
              </w:tc>
              <w:tc>
                <w:tcPr>
                  <w:tcW w:w="520" w:type="dxa"/>
                  <w:vMerge w:val="restart"/>
                  <w:tcMar>
                    <w:left w:w="0" w:type="dxa"/>
                    <w:right w:w="0" w:type="dxa"/>
                  </w:tcMar>
                  <w:vAlign w:val="center"/>
                </w:tcPr>
                <w:p w14:paraId="57AE0C9F">
                  <w:pPr>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BFD154C">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48608E7D">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446BBA9">
                  <w:pPr>
                    <w:rPr>
                      <w:rFonts w:hint="default"/>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5DA990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7353BF0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0A62E31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0891276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3A7DC6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平铺摆放</w:t>
                  </w:r>
                </w:p>
              </w:tc>
              <w:tc>
                <w:tcPr>
                  <w:tcW w:w="1039" w:type="dxa"/>
                  <w:tcMar>
                    <w:left w:w="0" w:type="dxa"/>
                    <w:right w:w="0" w:type="dxa"/>
                  </w:tcMar>
                  <w:vAlign w:val="center"/>
                </w:tcPr>
                <w:p w14:paraId="7362659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C59A77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CDEA7DC">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0E4E785E">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79FA4D65">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0A14650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F3F0E2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7E2FC7D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347D69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F2ED92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货架</w:t>
                  </w:r>
                </w:p>
              </w:tc>
              <w:tc>
                <w:tcPr>
                  <w:tcW w:w="1039" w:type="dxa"/>
                  <w:tcMar>
                    <w:left w:w="0" w:type="dxa"/>
                    <w:right w:w="0" w:type="dxa"/>
                  </w:tcMar>
                  <w:vAlign w:val="center"/>
                </w:tcPr>
                <w:p w14:paraId="663B0E3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71D0638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14B0C4B9">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470FF817">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5EC7DE5B">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05DA81D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CFC23C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7CCD2A7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684DBB2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565076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平铺摆放</w:t>
                  </w:r>
                </w:p>
              </w:tc>
              <w:tc>
                <w:tcPr>
                  <w:tcW w:w="1039" w:type="dxa"/>
                  <w:tcMar>
                    <w:left w:w="0" w:type="dxa"/>
                    <w:right w:w="0" w:type="dxa"/>
                  </w:tcMar>
                  <w:vAlign w:val="center"/>
                </w:tcPr>
                <w:p w14:paraId="48838FF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4520CC1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A4779C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519" w:type="dxa"/>
                  <w:vMerge w:val="continue"/>
                  <w:tcMar>
                    <w:left w:w="0" w:type="dxa"/>
                    <w:right w:w="0" w:type="dxa"/>
                  </w:tcMar>
                  <w:vAlign w:val="center"/>
                </w:tcPr>
                <w:p w14:paraId="43B61C74">
                  <w:pPr>
                    <w:jc w:val="center"/>
                    <w:rPr>
                      <w:rFonts w:hint="default" w:ascii="Times New Roman" w:hAnsi="Times New Roman" w:cs="Times New Roman"/>
                      <w:color w:val="auto"/>
                      <w:highlight w:val="none"/>
                    </w:rPr>
                  </w:pPr>
                </w:p>
              </w:tc>
              <w:tc>
                <w:tcPr>
                  <w:tcW w:w="520" w:type="dxa"/>
                  <w:vMerge w:val="continue"/>
                  <w:tcMar>
                    <w:left w:w="0" w:type="dxa"/>
                    <w:right w:w="0" w:type="dxa"/>
                  </w:tcMar>
                  <w:vAlign w:val="center"/>
                </w:tcPr>
                <w:p w14:paraId="640BADDC">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023E456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27C478E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2A8337F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562685E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20B9BC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平铺摆放</w:t>
                  </w:r>
                </w:p>
              </w:tc>
              <w:tc>
                <w:tcPr>
                  <w:tcW w:w="1039" w:type="dxa"/>
                  <w:tcMar>
                    <w:left w:w="0" w:type="dxa"/>
                    <w:right w:w="0" w:type="dxa"/>
                  </w:tcMar>
                  <w:vAlign w:val="center"/>
                </w:tcPr>
                <w:p w14:paraId="4D8B7EA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4D03055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2A737193">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restart"/>
                  <w:tcMar>
                    <w:left w:w="0" w:type="dxa"/>
                    <w:right w:w="0" w:type="dxa"/>
                  </w:tcMar>
                  <w:vAlign w:val="center"/>
                </w:tcPr>
                <w:p w14:paraId="146B42E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钙钛矿研究院</w:t>
                  </w:r>
                </w:p>
              </w:tc>
              <w:tc>
                <w:tcPr>
                  <w:tcW w:w="1039" w:type="dxa"/>
                  <w:tcMar>
                    <w:left w:w="0" w:type="dxa"/>
                    <w:right w:w="0" w:type="dxa"/>
                  </w:tcMar>
                  <w:vAlign w:val="center"/>
                </w:tcPr>
                <w:p w14:paraId="31B58CF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66A3C88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387CA7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5A05765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150104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E60D64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045D6C4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46754D4D">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263ACB7C">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C8D4A5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0D3647B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5A794C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2DCC83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3361CA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3419842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4DD176F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A42A13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1B5BC734">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1A9C0CA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881C3C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F43344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6EAADEA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A8B7ED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2CF5B1E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5FF7405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397C9FF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6020A81B">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76C7940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4C8FD6F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C58DA5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E2CA27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011724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204B89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6B653EF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6858D8E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371565AC">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694951A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659D7C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22D8107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6EBC104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88FC9D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8DD502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0C3782E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4F1D2F0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4EB6D812">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ADF471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05822A51">
                  <w:pPr>
                    <w:jc w:val="center"/>
                    <w:rPr>
                      <w:rFonts w:hint="eastAsia" w:ascii="Times New Roman" w:hAnsi="Times New Roman" w:eastAsia="宋体" w:cs="Times New Roman"/>
                      <w:color w:val="auto"/>
                      <w:highlight w:val="none"/>
                      <w:lang w:eastAsia="zh-CN"/>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576C4F8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B7CA98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5C30DE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F9D46E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18E7D39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11314FF6">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3270F0A0">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7560AE0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2309030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F7DDE3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205DED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9552F8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A1861D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5700707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38A0B311">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94" w:hRule="atLeast"/>
                <w:jc w:val="center"/>
              </w:trPr>
              <w:tc>
                <w:tcPr>
                  <w:tcW w:w="1039" w:type="dxa"/>
                  <w:gridSpan w:val="2"/>
                  <w:vMerge w:val="continue"/>
                  <w:tcMar>
                    <w:left w:w="0" w:type="dxa"/>
                    <w:right w:w="0" w:type="dxa"/>
                  </w:tcMar>
                  <w:vAlign w:val="center"/>
                </w:tcPr>
                <w:p w14:paraId="2F3B85C8">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786CB5B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7AB1539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4EBC219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20A3463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3A17C39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5CA866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7ED8E53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459AF38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825" w:hRule="atLeast"/>
                <w:jc w:val="center"/>
              </w:trPr>
              <w:tc>
                <w:tcPr>
                  <w:tcW w:w="1039" w:type="dxa"/>
                  <w:gridSpan w:val="2"/>
                  <w:vMerge w:val="continue"/>
                  <w:tcMar>
                    <w:left w:w="0" w:type="dxa"/>
                    <w:right w:w="0" w:type="dxa"/>
                  </w:tcMar>
                  <w:vAlign w:val="center"/>
                </w:tcPr>
                <w:p w14:paraId="59256B59">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2838045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05EC24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6015CD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3D34589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C38BE8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682C26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081DA17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490860C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3" w:hRule="atLeast"/>
                <w:jc w:val="center"/>
              </w:trPr>
              <w:tc>
                <w:tcPr>
                  <w:tcW w:w="1039" w:type="dxa"/>
                  <w:gridSpan w:val="2"/>
                  <w:vMerge w:val="continue"/>
                  <w:tcMar>
                    <w:left w:w="0" w:type="dxa"/>
                    <w:right w:w="0" w:type="dxa"/>
                  </w:tcMar>
                  <w:vAlign w:val="center"/>
                </w:tcPr>
                <w:p w14:paraId="0072011E">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DC51A0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6E3506C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72A117B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821C0B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8111D2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36ACFCA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5FE7C22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2C5F0E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8" w:hRule="atLeast"/>
                <w:jc w:val="center"/>
              </w:trPr>
              <w:tc>
                <w:tcPr>
                  <w:tcW w:w="1039" w:type="dxa"/>
                  <w:gridSpan w:val="2"/>
                  <w:vMerge w:val="continue"/>
                  <w:tcMar>
                    <w:left w:w="0" w:type="dxa"/>
                    <w:right w:w="0" w:type="dxa"/>
                  </w:tcMar>
                  <w:vAlign w:val="center"/>
                </w:tcPr>
                <w:p w14:paraId="60322E4C">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1CB3420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1A8BB8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21A05D5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02EF822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36C84DD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7C4794C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1149CD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BF7A7F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4591C00C">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44617B6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19E7653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57DAD18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7B018FB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D0005B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9E1BB2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187B416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6C6384F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57345417">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08B98836">
                  <w:pPr>
                    <w:jc w:val="center"/>
                    <w:rPr>
                      <w:rFonts w:hint="eastAsia" w:ascii="Times New Roman" w:hAnsi="Times New Roman" w:eastAsia="宋体" w:cs="Times New Roman"/>
                      <w:color w:val="auto"/>
                      <w:highlight w:val="none"/>
                      <w:lang w:eastAsia="zh-CN"/>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5F17B82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4F8B924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642892C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26EA2D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6A854C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2BD610B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00A0B7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14EFA694">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20EB540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17F63C1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3F2BDE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2A9E21B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B86B7E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AA1BD7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0822F14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28D67C8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21" w:hRule="atLeast"/>
                <w:jc w:val="center"/>
              </w:trPr>
              <w:tc>
                <w:tcPr>
                  <w:tcW w:w="1039" w:type="dxa"/>
                  <w:gridSpan w:val="2"/>
                  <w:vMerge w:val="continue"/>
                  <w:tcMar>
                    <w:left w:w="0" w:type="dxa"/>
                    <w:right w:w="0" w:type="dxa"/>
                  </w:tcMar>
                  <w:vAlign w:val="center"/>
                </w:tcPr>
                <w:p w14:paraId="3FF4ABE2">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60D01E2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2ACE19C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7099A8A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0FBD189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CA4377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75E219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C8148B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4A7F3D1">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21" w:hRule="atLeast"/>
                <w:jc w:val="center"/>
              </w:trPr>
              <w:tc>
                <w:tcPr>
                  <w:tcW w:w="1039" w:type="dxa"/>
                  <w:gridSpan w:val="2"/>
                  <w:vMerge w:val="continue"/>
                  <w:tcMar>
                    <w:left w:w="0" w:type="dxa"/>
                    <w:right w:w="0" w:type="dxa"/>
                  </w:tcMar>
                  <w:vAlign w:val="center"/>
                </w:tcPr>
                <w:p w14:paraId="4AC3F367">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2D9F5EC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74EDFBE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2EB8659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055076B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C1B0BE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3CF72CF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15ECDBE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47CFFCF">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3" w:hRule="atLeast"/>
                <w:jc w:val="center"/>
              </w:trPr>
              <w:tc>
                <w:tcPr>
                  <w:tcW w:w="1039" w:type="dxa"/>
                  <w:gridSpan w:val="2"/>
                  <w:vMerge w:val="continue"/>
                  <w:tcMar>
                    <w:left w:w="0" w:type="dxa"/>
                    <w:right w:w="0" w:type="dxa"/>
                  </w:tcMar>
                  <w:vAlign w:val="center"/>
                </w:tcPr>
                <w:p w14:paraId="6CA8F89E">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367BB8C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775536E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08B49A3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E89C58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95B8D9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457576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4948DB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E3CE08D">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3" w:hRule="atLeast"/>
                <w:jc w:val="center"/>
              </w:trPr>
              <w:tc>
                <w:tcPr>
                  <w:tcW w:w="1039" w:type="dxa"/>
                  <w:gridSpan w:val="2"/>
                  <w:vMerge w:val="continue"/>
                  <w:tcMar>
                    <w:left w:w="0" w:type="dxa"/>
                    <w:right w:w="0" w:type="dxa"/>
                  </w:tcMar>
                  <w:vAlign w:val="center"/>
                </w:tcPr>
                <w:p w14:paraId="18FD15FE">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76E7652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4E8A715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7F5896B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6178A1C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791A77A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CDA7F8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4B959C3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35F1E60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3" w:hRule="atLeast"/>
                <w:jc w:val="center"/>
              </w:trPr>
              <w:tc>
                <w:tcPr>
                  <w:tcW w:w="1039" w:type="dxa"/>
                  <w:gridSpan w:val="2"/>
                  <w:vMerge w:val="continue"/>
                  <w:tcMar>
                    <w:left w:w="0" w:type="dxa"/>
                    <w:right w:w="0" w:type="dxa"/>
                  </w:tcMar>
                  <w:vAlign w:val="center"/>
                </w:tcPr>
                <w:p w14:paraId="1F18121F">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2FD09BB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EE04BB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5F1C468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261B719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294BBD7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B81153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1809F57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7516037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3" w:hRule="atLeast"/>
                <w:jc w:val="center"/>
              </w:trPr>
              <w:tc>
                <w:tcPr>
                  <w:tcW w:w="1039" w:type="dxa"/>
                  <w:gridSpan w:val="2"/>
                  <w:vMerge w:val="continue"/>
                  <w:tcMar>
                    <w:left w:w="0" w:type="dxa"/>
                    <w:right w:w="0" w:type="dxa"/>
                  </w:tcMar>
                  <w:vAlign w:val="center"/>
                </w:tcPr>
                <w:p w14:paraId="775AB906">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09BC13C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550A050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42BA57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8FB51A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0EB47E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D1712D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411A706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D0AA13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3" w:hRule="atLeast"/>
                <w:jc w:val="center"/>
              </w:trPr>
              <w:tc>
                <w:tcPr>
                  <w:tcW w:w="1039" w:type="dxa"/>
                  <w:gridSpan w:val="2"/>
                  <w:vMerge w:val="continue"/>
                  <w:tcMar>
                    <w:left w:w="0" w:type="dxa"/>
                    <w:right w:w="0" w:type="dxa"/>
                  </w:tcMar>
                  <w:vAlign w:val="center"/>
                </w:tcPr>
                <w:p w14:paraId="7E0B2043">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0DE1A55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7BD35D1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6415FD4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472E479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7FB6DAB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1297BFD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7F4C8E0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6F014A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63" w:hRule="atLeast"/>
                <w:jc w:val="center"/>
              </w:trPr>
              <w:tc>
                <w:tcPr>
                  <w:tcW w:w="1039" w:type="dxa"/>
                  <w:gridSpan w:val="2"/>
                  <w:vMerge w:val="continue"/>
                  <w:tcMar>
                    <w:left w:w="0" w:type="dxa"/>
                    <w:right w:w="0" w:type="dxa"/>
                  </w:tcMar>
                  <w:vAlign w:val="center"/>
                </w:tcPr>
                <w:p w14:paraId="7847C6F2">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E4FE5F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77AFB5C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2B38D078">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77311F9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358709C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12E7EC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32CFD8F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8FD2AA6">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21" w:hRule="atLeast"/>
                <w:jc w:val="center"/>
              </w:trPr>
              <w:tc>
                <w:tcPr>
                  <w:tcW w:w="1039" w:type="dxa"/>
                  <w:gridSpan w:val="2"/>
                  <w:vMerge w:val="continue"/>
                  <w:tcMar>
                    <w:left w:w="0" w:type="dxa"/>
                    <w:right w:w="0" w:type="dxa"/>
                  </w:tcMar>
                  <w:vAlign w:val="center"/>
                </w:tcPr>
                <w:p w14:paraId="4AE16D99">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7BE397E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29578C1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3B3303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251FA6D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AFC0BB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3E91795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实验室药品柜</w:t>
                  </w:r>
                </w:p>
              </w:tc>
              <w:tc>
                <w:tcPr>
                  <w:tcW w:w="1043" w:type="dxa"/>
                  <w:tcMar>
                    <w:left w:w="0" w:type="dxa"/>
                    <w:right w:w="0" w:type="dxa"/>
                  </w:tcMar>
                  <w:vAlign w:val="center"/>
                </w:tcPr>
                <w:p w14:paraId="1A80C88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019B849F">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53" w:hRule="atLeast"/>
                <w:jc w:val="center"/>
              </w:trPr>
              <w:tc>
                <w:tcPr>
                  <w:tcW w:w="1039" w:type="dxa"/>
                  <w:gridSpan w:val="2"/>
                  <w:vMerge w:val="continue"/>
                  <w:tcMar>
                    <w:left w:w="0" w:type="dxa"/>
                    <w:right w:w="0" w:type="dxa"/>
                  </w:tcMar>
                  <w:vAlign w:val="center"/>
                </w:tcPr>
                <w:p w14:paraId="2D896BC4">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3D2C317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0FB3198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0B3418C">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7563CB2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4C25970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895015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实验室药品柜</w:t>
                  </w:r>
                </w:p>
              </w:tc>
              <w:tc>
                <w:tcPr>
                  <w:tcW w:w="1043" w:type="dxa"/>
                  <w:tcMar>
                    <w:left w:w="0" w:type="dxa"/>
                    <w:right w:w="0" w:type="dxa"/>
                  </w:tcMar>
                  <w:vAlign w:val="center"/>
                </w:tcPr>
                <w:p w14:paraId="50FAC46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AE3CB8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94" w:hRule="atLeast"/>
                <w:jc w:val="center"/>
              </w:trPr>
              <w:tc>
                <w:tcPr>
                  <w:tcW w:w="1039" w:type="dxa"/>
                  <w:gridSpan w:val="2"/>
                  <w:vMerge w:val="continue"/>
                  <w:tcMar>
                    <w:left w:w="0" w:type="dxa"/>
                    <w:right w:w="0" w:type="dxa"/>
                  </w:tcMar>
                  <w:vAlign w:val="center"/>
                </w:tcPr>
                <w:p w14:paraId="78C53D89">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1ACC2E6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D87304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36798C8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0C6CF26">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CC502F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007EF2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实验室药品柜</w:t>
                  </w:r>
                </w:p>
              </w:tc>
              <w:tc>
                <w:tcPr>
                  <w:tcW w:w="1043" w:type="dxa"/>
                  <w:tcMar>
                    <w:left w:w="0" w:type="dxa"/>
                    <w:right w:w="0" w:type="dxa"/>
                  </w:tcMar>
                  <w:vAlign w:val="center"/>
                </w:tcPr>
                <w:p w14:paraId="1596CB0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4FAFB8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21" w:hRule="atLeast"/>
                <w:jc w:val="center"/>
              </w:trPr>
              <w:tc>
                <w:tcPr>
                  <w:tcW w:w="1039" w:type="dxa"/>
                  <w:gridSpan w:val="2"/>
                  <w:vMerge w:val="continue"/>
                  <w:tcMar>
                    <w:left w:w="0" w:type="dxa"/>
                    <w:right w:w="0" w:type="dxa"/>
                  </w:tcMar>
                  <w:vAlign w:val="center"/>
                </w:tcPr>
                <w:p w14:paraId="42A0B7ED">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820EE8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7F79F6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34D320E">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CBFDCE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E6047E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F95952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储罐</w:t>
                  </w:r>
                </w:p>
              </w:tc>
              <w:tc>
                <w:tcPr>
                  <w:tcW w:w="1043" w:type="dxa"/>
                  <w:tcMar>
                    <w:left w:w="0" w:type="dxa"/>
                    <w:right w:w="0" w:type="dxa"/>
                  </w:tcMar>
                  <w:vAlign w:val="center"/>
                </w:tcPr>
                <w:p w14:paraId="34C04DB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204DDC4F">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21" w:hRule="atLeast"/>
                <w:jc w:val="center"/>
              </w:trPr>
              <w:tc>
                <w:tcPr>
                  <w:tcW w:w="1039" w:type="dxa"/>
                  <w:gridSpan w:val="2"/>
                  <w:vMerge w:val="continue"/>
                  <w:tcMar>
                    <w:left w:w="0" w:type="dxa"/>
                    <w:right w:w="0" w:type="dxa"/>
                  </w:tcMar>
                  <w:vAlign w:val="center"/>
                </w:tcPr>
                <w:p w14:paraId="5BDE2A71">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57B7848E">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0442569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5B13392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FDCC8D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4D52967">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C98346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729AC72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57FD199C">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21" w:hRule="atLeast"/>
                <w:jc w:val="center"/>
              </w:trPr>
              <w:tc>
                <w:tcPr>
                  <w:tcW w:w="1039" w:type="dxa"/>
                  <w:gridSpan w:val="2"/>
                  <w:vMerge w:val="continue"/>
                  <w:tcMar>
                    <w:left w:w="0" w:type="dxa"/>
                    <w:right w:w="0" w:type="dxa"/>
                  </w:tcMar>
                  <w:vAlign w:val="center"/>
                </w:tcPr>
                <w:p w14:paraId="0D7EA1E7">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15B18788">
                  <w:pPr>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374AA274">
                  <w:pPr>
                    <w:jc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1DEC5E6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1938A18C">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1551D4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6B795BD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原辅料暂存区</w:t>
                  </w:r>
                </w:p>
              </w:tc>
              <w:tc>
                <w:tcPr>
                  <w:tcW w:w="1043" w:type="dxa"/>
                  <w:tcMar>
                    <w:left w:w="0" w:type="dxa"/>
                    <w:right w:w="0" w:type="dxa"/>
                  </w:tcMar>
                  <w:vAlign w:val="center"/>
                </w:tcPr>
                <w:p w14:paraId="7A1996C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r w14:paraId="74B8876A">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36" w:hRule="atLeast"/>
                <w:jc w:val="center"/>
              </w:trPr>
              <w:tc>
                <w:tcPr>
                  <w:tcW w:w="1039" w:type="dxa"/>
                  <w:gridSpan w:val="2"/>
                  <w:vMerge w:val="continue"/>
                  <w:tcMar>
                    <w:left w:w="0" w:type="dxa"/>
                    <w:right w:w="0" w:type="dxa"/>
                  </w:tcMar>
                  <w:vAlign w:val="center"/>
                </w:tcPr>
                <w:p w14:paraId="3C685CD3">
                  <w:pPr>
                    <w:jc w:val="center"/>
                    <w:rPr>
                      <w:rFonts w:hint="default" w:ascii="Times New Roman" w:hAnsi="Times New Roman" w:cs="Times New Roman"/>
                      <w:color w:val="auto"/>
                      <w:highlight w:val="none"/>
                    </w:rPr>
                  </w:pPr>
                </w:p>
              </w:tc>
              <w:tc>
                <w:tcPr>
                  <w:tcW w:w="1039" w:type="dxa"/>
                  <w:tcMar>
                    <w:left w:w="0" w:type="dxa"/>
                    <w:right w:w="0" w:type="dxa"/>
                  </w:tcMar>
                  <w:vAlign w:val="center"/>
                </w:tcPr>
                <w:p w14:paraId="7B2EA74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7" w:type="dxa"/>
                  <w:tcMar>
                    <w:left w:w="0" w:type="dxa"/>
                    <w:right w:w="0" w:type="dxa"/>
                  </w:tcMar>
                  <w:vAlign w:val="center"/>
                </w:tcPr>
                <w:p w14:paraId="65C63C0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02" w:type="dxa"/>
                  <w:tcMar>
                    <w:left w:w="0" w:type="dxa"/>
                    <w:right w:w="0" w:type="dxa"/>
                  </w:tcMar>
                  <w:vAlign w:val="center"/>
                </w:tcPr>
                <w:p w14:paraId="73D8E37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818" w:type="dxa"/>
                  <w:vAlign w:val="center"/>
                </w:tcPr>
                <w:p w14:paraId="5923480B">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50F4D98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39" w:type="dxa"/>
                  <w:tcMar>
                    <w:left w:w="0" w:type="dxa"/>
                    <w:right w:w="0" w:type="dxa"/>
                  </w:tcMar>
                  <w:vAlign w:val="center"/>
                </w:tcPr>
                <w:p w14:paraId="02C029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实验室防爆柜</w:t>
                  </w:r>
                </w:p>
              </w:tc>
              <w:tc>
                <w:tcPr>
                  <w:tcW w:w="1043" w:type="dxa"/>
                  <w:tcMar>
                    <w:left w:w="0" w:type="dxa"/>
                    <w:right w:w="0" w:type="dxa"/>
                  </w:tcMar>
                  <w:vAlign w:val="center"/>
                </w:tcPr>
                <w:p w14:paraId="5B73C9F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外购、汽运</w:t>
                  </w:r>
                </w:p>
              </w:tc>
            </w:tr>
          </w:tbl>
          <w:p w14:paraId="16E02F2E">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6、主要原辅材料的理化性质。</w:t>
            </w:r>
          </w:p>
          <w:p w14:paraId="771F6A55">
            <w:pPr>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表2.</w:t>
            </w:r>
            <w:r>
              <w:rPr>
                <w:rFonts w:hint="default" w:ascii="Times New Roman" w:hAns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rPr>
              <w:t xml:space="preserve">  主要原辅材料的理化性质表</w:t>
            </w:r>
          </w:p>
          <w:tbl>
            <w:tblPr>
              <w:tblStyle w:val="13"/>
              <w:tblpPr w:leftFromText="181" w:rightFromText="181" w:vertAnchor="text" w:horzAnchor="page"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252"/>
              <w:gridCol w:w="1028"/>
              <w:gridCol w:w="1988"/>
            </w:tblGrid>
            <w:tr w14:paraId="00F98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15" w:type="dxa"/>
                  <w:vAlign w:val="center"/>
                </w:tcPr>
                <w:p w14:paraId="6035A805">
                  <w:pPr>
                    <w:pStyle w:val="26"/>
                    <w:bidi w:val="0"/>
                    <w:rPr>
                      <w:rFonts w:hint="default"/>
                    </w:rPr>
                  </w:pPr>
                  <w:r>
                    <w:rPr>
                      <w:rFonts w:hint="default"/>
                    </w:rPr>
                    <w:t>原辅材料名称</w:t>
                  </w:r>
                </w:p>
              </w:tc>
              <w:tc>
                <w:tcPr>
                  <w:tcW w:w="4120" w:type="dxa"/>
                  <w:vAlign w:val="center"/>
                </w:tcPr>
                <w:p w14:paraId="17361BE1">
                  <w:pPr>
                    <w:pStyle w:val="26"/>
                    <w:bidi w:val="0"/>
                    <w:rPr>
                      <w:rFonts w:hint="default"/>
                    </w:rPr>
                  </w:pPr>
                  <w:r>
                    <w:rPr>
                      <w:rFonts w:hint="default"/>
                    </w:rPr>
                    <w:t>理化性质</w:t>
                  </w:r>
                </w:p>
              </w:tc>
              <w:tc>
                <w:tcPr>
                  <w:tcW w:w="996" w:type="dxa"/>
                  <w:vAlign w:val="center"/>
                </w:tcPr>
                <w:p w14:paraId="2A7006CE">
                  <w:pPr>
                    <w:pStyle w:val="26"/>
                    <w:bidi w:val="0"/>
                    <w:rPr>
                      <w:rFonts w:hint="default"/>
                    </w:rPr>
                  </w:pPr>
                  <w:r>
                    <w:rPr>
                      <w:rFonts w:hint="default"/>
                    </w:rPr>
                    <w:t>燃烧爆炸性</w:t>
                  </w:r>
                </w:p>
              </w:tc>
              <w:tc>
                <w:tcPr>
                  <w:tcW w:w="1926" w:type="dxa"/>
                  <w:vAlign w:val="center"/>
                </w:tcPr>
                <w:p w14:paraId="2C9FCEE4">
                  <w:pPr>
                    <w:pStyle w:val="26"/>
                    <w:bidi w:val="0"/>
                    <w:rPr>
                      <w:rFonts w:hint="default"/>
                    </w:rPr>
                  </w:pPr>
                  <w:r>
                    <w:rPr>
                      <w:rFonts w:hint="default"/>
                    </w:rPr>
                    <w:t>毒理性质</w:t>
                  </w:r>
                </w:p>
              </w:tc>
            </w:tr>
            <w:tr w14:paraId="67AF1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15" w:type="dxa"/>
                  <w:vAlign w:val="center"/>
                </w:tcPr>
                <w:p w14:paraId="173BFFB9">
                  <w:pPr>
                    <w:bidi w:val="0"/>
                    <w:rPr>
                      <w:rFonts w:hint="default"/>
                    </w:rPr>
                  </w:pPr>
                  <w:r>
                    <w:rPr>
                      <w:rFonts w:hint="eastAsia" w:cs="Times New Roman"/>
                      <w:color w:val="auto"/>
                      <w:sz w:val="24"/>
                      <w:szCs w:val="24"/>
                      <w:highlight w:val="none"/>
                      <w:lang w:val="en-US" w:eastAsia="zh-CN"/>
                    </w:rPr>
                    <w:t>***</w:t>
                  </w:r>
                </w:p>
              </w:tc>
              <w:tc>
                <w:tcPr>
                  <w:tcW w:w="4120" w:type="dxa"/>
                  <w:vAlign w:val="center"/>
                </w:tcPr>
                <w:p w14:paraId="596DF471">
                  <w:pPr>
                    <w:bidi w:val="0"/>
                    <w:rPr>
                      <w:rFonts w:hint="default"/>
                    </w:rPr>
                  </w:pPr>
                  <w:r>
                    <w:rPr>
                      <w:rFonts w:hint="eastAsia" w:cs="Times New Roman"/>
                      <w:color w:val="auto"/>
                      <w:sz w:val="24"/>
                      <w:szCs w:val="24"/>
                      <w:highlight w:val="none"/>
                      <w:lang w:val="en-US" w:eastAsia="zh-CN"/>
                    </w:rPr>
                    <w:t>***</w:t>
                  </w:r>
                </w:p>
              </w:tc>
              <w:tc>
                <w:tcPr>
                  <w:tcW w:w="996" w:type="dxa"/>
                  <w:vAlign w:val="center"/>
                </w:tcPr>
                <w:p w14:paraId="0202EF73">
                  <w:pPr>
                    <w:bidi w:val="0"/>
                    <w:rPr>
                      <w:rFonts w:hint="default"/>
                    </w:rPr>
                  </w:pPr>
                  <w:r>
                    <w:rPr>
                      <w:rFonts w:hint="eastAsia" w:cs="Times New Roman"/>
                      <w:color w:val="auto"/>
                      <w:sz w:val="24"/>
                      <w:szCs w:val="24"/>
                      <w:highlight w:val="none"/>
                      <w:lang w:val="en-US" w:eastAsia="zh-CN"/>
                    </w:rPr>
                    <w:t>***</w:t>
                  </w:r>
                </w:p>
              </w:tc>
              <w:tc>
                <w:tcPr>
                  <w:tcW w:w="1926" w:type="dxa"/>
                  <w:vAlign w:val="center"/>
                </w:tcPr>
                <w:p w14:paraId="35A64994">
                  <w:pPr>
                    <w:bidi w:val="0"/>
                    <w:rPr>
                      <w:rFonts w:hint="default"/>
                    </w:rPr>
                  </w:pPr>
                  <w:r>
                    <w:rPr>
                      <w:rFonts w:hint="eastAsia" w:cs="Times New Roman"/>
                      <w:color w:val="auto"/>
                      <w:sz w:val="24"/>
                      <w:szCs w:val="24"/>
                      <w:highlight w:val="none"/>
                      <w:lang w:val="en-US" w:eastAsia="zh-CN"/>
                    </w:rPr>
                    <w:t>***</w:t>
                  </w:r>
                </w:p>
              </w:tc>
            </w:tr>
            <w:tr w14:paraId="6A95B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1015" w:type="dxa"/>
                  <w:vAlign w:val="center"/>
                </w:tcPr>
                <w:p w14:paraId="596D260D">
                  <w:pPr>
                    <w:bidi w:val="0"/>
                    <w:rPr>
                      <w:rFonts w:hint="default"/>
                    </w:rPr>
                  </w:pPr>
                  <w:r>
                    <w:rPr>
                      <w:rFonts w:hint="eastAsia" w:cs="Times New Roman"/>
                      <w:color w:val="auto"/>
                      <w:sz w:val="24"/>
                      <w:szCs w:val="24"/>
                      <w:highlight w:val="none"/>
                      <w:lang w:val="en-US" w:eastAsia="zh-CN"/>
                    </w:rPr>
                    <w:t>***</w:t>
                  </w:r>
                </w:p>
              </w:tc>
              <w:tc>
                <w:tcPr>
                  <w:tcW w:w="4120" w:type="dxa"/>
                  <w:vAlign w:val="center"/>
                </w:tcPr>
                <w:p w14:paraId="393DCFAA">
                  <w:pPr>
                    <w:bidi w:val="0"/>
                    <w:rPr>
                      <w:rFonts w:hint="default"/>
                      <w:lang w:val="en-US" w:eastAsia="zh-CN"/>
                    </w:rPr>
                  </w:pPr>
                  <w:r>
                    <w:rPr>
                      <w:rFonts w:hint="eastAsia" w:cs="Times New Roman"/>
                      <w:color w:val="auto"/>
                      <w:sz w:val="24"/>
                      <w:szCs w:val="24"/>
                      <w:highlight w:val="none"/>
                      <w:lang w:val="en-US" w:eastAsia="zh-CN"/>
                    </w:rPr>
                    <w:t>***</w:t>
                  </w:r>
                </w:p>
              </w:tc>
              <w:tc>
                <w:tcPr>
                  <w:tcW w:w="996" w:type="dxa"/>
                  <w:vAlign w:val="center"/>
                </w:tcPr>
                <w:p w14:paraId="5E4E9490">
                  <w:pPr>
                    <w:bidi w:val="0"/>
                    <w:rPr>
                      <w:rFonts w:hint="default"/>
                    </w:rPr>
                  </w:pPr>
                  <w:r>
                    <w:rPr>
                      <w:rFonts w:hint="eastAsia" w:cs="Times New Roman"/>
                      <w:color w:val="auto"/>
                      <w:sz w:val="24"/>
                      <w:szCs w:val="24"/>
                      <w:highlight w:val="none"/>
                      <w:lang w:val="en-US" w:eastAsia="zh-CN"/>
                    </w:rPr>
                    <w:t>***</w:t>
                  </w:r>
                </w:p>
              </w:tc>
              <w:tc>
                <w:tcPr>
                  <w:tcW w:w="1926" w:type="dxa"/>
                  <w:vAlign w:val="center"/>
                </w:tcPr>
                <w:p w14:paraId="4D37ED50">
                  <w:pPr>
                    <w:bidi w:val="0"/>
                    <w:rPr>
                      <w:rFonts w:hint="default"/>
                    </w:rPr>
                  </w:pPr>
                  <w:r>
                    <w:rPr>
                      <w:rFonts w:hint="eastAsia" w:cs="Times New Roman"/>
                      <w:color w:val="auto"/>
                      <w:sz w:val="24"/>
                      <w:szCs w:val="24"/>
                      <w:highlight w:val="none"/>
                      <w:lang w:val="en-US" w:eastAsia="zh-CN"/>
                    </w:rPr>
                    <w:t>***</w:t>
                  </w:r>
                </w:p>
              </w:tc>
            </w:tr>
            <w:tr w14:paraId="52438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015" w:type="dxa"/>
                  <w:vAlign w:val="center"/>
                </w:tcPr>
                <w:p w14:paraId="42C634E4">
                  <w:pPr>
                    <w:bidi w:val="0"/>
                    <w:rPr>
                      <w:rFonts w:hint="default"/>
                    </w:rPr>
                  </w:pPr>
                  <w:r>
                    <w:rPr>
                      <w:rFonts w:hint="eastAsia" w:cs="Times New Roman"/>
                      <w:color w:val="auto"/>
                      <w:sz w:val="24"/>
                      <w:szCs w:val="24"/>
                      <w:highlight w:val="none"/>
                      <w:lang w:val="en-US" w:eastAsia="zh-CN"/>
                    </w:rPr>
                    <w:t>***</w:t>
                  </w:r>
                </w:p>
              </w:tc>
              <w:tc>
                <w:tcPr>
                  <w:tcW w:w="4120" w:type="dxa"/>
                  <w:vAlign w:val="center"/>
                </w:tcPr>
                <w:p w14:paraId="136B46C2">
                  <w:pPr>
                    <w:bidi w:val="0"/>
                    <w:rPr>
                      <w:rFonts w:hint="default"/>
                    </w:rPr>
                  </w:pPr>
                  <w:r>
                    <w:rPr>
                      <w:rFonts w:hint="eastAsia" w:cs="Times New Roman"/>
                      <w:color w:val="auto"/>
                      <w:sz w:val="24"/>
                      <w:szCs w:val="24"/>
                      <w:highlight w:val="none"/>
                      <w:lang w:val="en-US" w:eastAsia="zh-CN"/>
                    </w:rPr>
                    <w:t>***</w:t>
                  </w:r>
                </w:p>
              </w:tc>
              <w:tc>
                <w:tcPr>
                  <w:tcW w:w="996" w:type="dxa"/>
                  <w:vAlign w:val="center"/>
                </w:tcPr>
                <w:p w14:paraId="0FAE6DB2">
                  <w:pPr>
                    <w:bidi w:val="0"/>
                    <w:rPr>
                      <w:rFonts w:hint="default"/>
                    </w:rPr>
                  </w:pPr>
                  <w:r>
                    <w:rPr>
                      <w:rFonts w:hint="eastAsia" w:cs="Times New Roman"/>
                      <w:color w:val="auto"/>
                      <w:sz w:val="24"/>
                      <w:szCs w:val="24"/>
                      <w:highlight w:val="none"/>
                      <w:lang w:val="en-US" w:eastAsia="zh-CN"/>
                    </w:rPr>
                    <w:t>***</w:t>
                  </w:r>
                </w:p>
              </w:tc>
              <w:tc>
                <w:tcPr>
                  <w:tcW w:w="1926" w:type="dxa"/>
                  <w:vAlign w:val="center"/>
                </w:tcPr>
                <w:p w14:paraId="6DAAB4A4">
                  <w:pPr>
                    <w:bidi w:val="0"/>
                    <w:rPr>
                      <w:rFonts w:hint="default"/>
                    </w:rPr>
                  </w:pPr>
                  <w:r>
                    <w:rPr>
                      <w:rFonts w:hint="eastAsia" w:cs="Times New Roman"/>
                      <w:color w:val="auto"/>
                      <w:sz w:val="24"/>
                      <w:szCs w:val="24"/>
                      <w:highlight w:val="none"/>
                      <w:lang w:val="en-US" w:eastAsia="zh-CN"/>
                    </w:rPr>
                    <w:t>***</w:t>
                  </w:r>
                </w:p>
              </w:tc>
            </w:tr>
            <w:tr w14:paraId="49A4B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015" w:type="dxa"/>
                  <w:vAlign w:val="center"/>
                </w:tcPr>
                <w:p w14:paraId="63B3CE4D">
                  <w:pPr>
                    <w:bidi w:val="0"/>
                    <w:rPr>
                      <w:rFonts w:hint="default"/>
                    </w:rPr>
                  </w:pPr>
                  <w:r>
                    <w:rPr>
                      <w:rFonts w:hint="eastAsia" w:cs="Times New Roman"/>
                      <w:color w:val="auto"/>
                      <w:sz w:val="24"/>
                      <w:szCs w:val="24"/>
                      <w:highlight w:val="none"/>
                      <w:lang w:val="en-US" w:eastAsia="zh-CN"/>
                    </w:rPr>
                    <w:t>***</w:t>
                  </w:r>
                </w:p>
              </w:tc>
              <w:tc>
                <w:tcPr>
                  <w:tcW w:w="4120" w:type="dxa"/>
                  <w:vAlign w:val="center"/>
                </w:tcPr>
                <w:p w14:paraId="1F662D4E">
                  <w:pPr>
                    <w:bidi w:val="0"/>
                    <w:rPr>
                      <w:rFonts w:hint="default"/>
                    </w:rPr>
                  </w:pPr>
                  <w:r>
                    <w:rPr>
                      <w:rFonts w:hint="eastAsia" w:cs="Times New Roman"/>
                      <w:color w:val="auto"/>
                      <w:sz w:val="24"/>
                      <w:szCs w:val="24"/>
                      <w:highlight w:val="none"/>
                      <w:lang w:val="en-US" w:eastAsia="zh-CN"/>
                    </w:rPr>
                    <w:t>***</w:t>
                  </w:r>
                </w:p>
              </w:tc>
              <w:tc>
                <w:tcPr>
                  <w:tcW w:w="996" w:type="dxa"/>
                  <w:vAlign w:val="center"/>
                </w:tcPr>
                <w:p w14:paraId="39B6C236">
                  <w:pPr>
                    <w:bidi w:val="0"/>
                    <w:rPr>
                      <w:rFonts w:hint="default"/>
                    </w:rPr>
                  </w:pPr>
                  <w:r>
                    <w:rPr>
                      <w:rFonts w:hint="eastAsia" w:cs="Times New Roman"/>
                      <w:color w:val="auto"/>
                      <w:sz w:val="24"/>
                      <w:szCs w:val="24"/>
                      <w:highlight w:val="none"/>
                      <w:lang w:val="en-US" w:eastAsia="zh-CN"/>
                    </w:rPr>
                    <w:t>***</w:t>
                  </w:r>
                </w:p>
              </w:tc>
              <w:tc>
                <w:tcPr>
                  <w:tcW w:w="1926" w:type="dxa"/>
                  <w:vAlign w:val="center"/>
                </w:tcPr>
                <w:p w14:paraId="16087842">
                  <w:pPr>
                    <w:bidi w:val="0"/>
                    <w:rPr>
                      <w:rFonts w:hint="default"/>
                    </w:rPr>
                  </w:pPr>
                  <w:r>
                    <w:rPr>
                      <w:rFonts w:hint="eastAsia" w:cs="Times New Roman"/>
                      <w:color w:val="auto"/>
                      <w:sz w:val="24"/>
                      <w:szCs w:val="24"/>
                      <w:highlight w:val="none"/>
                      <w:lang w:val="en-US" w:eastAsia="zh-CN"/>
                    </w:rPr>
                    <w:t>***</w:t>
                  </w:r>
                </w:p>
              </w:tc>
            </w:tr>
            <w:tr w14:paraId="30D76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15" w:type="dxa"/>
                  <w:vAlign w:val="center"/>
                </w:tcPr>
                <w:p w14:paraId="06056677">
                  <w:pPr>
                    <w:bidi w:val="0"/>
                    <w:rPr>
                      <w:rFonts w:hint="default" w:eastAsia="宋体"/>
                      <w:lang w:val="en-US" w:eastAsia="zh-CN"/>
                    </w:rPr>
                  </w:pPr>
                  <w:r>
                    <w:rPr>
                      <w:rFonts w:hint="eastAsia" w:cs="Times New Roman"/>
                      <w:color w:val="auto"/>
                      <w:sz w:val="24"/>
                      <w:szCs w:val="24"/>
                      <w:highlight w:val="none"/>
                      <w:lang w:val="en-US" w:eastAsia="zh-CN"/>
                    </w:rPr>
                    <w:t>***</w:t>
                  </w:r>
                </w:p>
              </w:tc>
              <w:tc>
                <w:tcPr>
                  <w:tcW w:w="4120" w:type="dxa"/>
                  <w:vAlign w:val="center"/>
                </w:tcPr>
                <w:p w14:paraId="41473B15">
                  <w:pPr>
                    <w:bidi w:val="0"/>
                    <w:rPr>
                      <w:rFonts w:hint="default" w:eastAsia="宋体"/>
                      <w:lang w:val="en-US" w:eastAsia="zh-CN"/>
                    </w:rPr>
                  </w:pPr>
                  <w:r>
                    <w:rPr>
                      <w:rFonts w:hint="eastAsia" w:cs="Times New Roman"/>
                      <w:color w:val="auto"/>
                      <w:sz w:val="24"/>
                      <w:szCs w:val="24"/>
                      <w:highlight w:val="none"/>
                      <w:lang w:val="en-US" w:eastAsia="zh-CN"/>
                    </w:rPr>
                    <w:t>***</w:t>
                  </w:r>
                </w:p>
              </w:tc>
              <w:tc>
                <w:tcPr>
                  <w:tcW w:w="996" w:type="dxa"/>
                  <w:vAlign w:val="center"/>
                </w:tcPr>
                <w:p w14:paraId="6B6ABC85">
                  <w:pPr>
                    <w:bidi w:val="0"/>
                    <w:rPr>
                      <w:rFonts w:hint="eastAsia" w:eastAsia="宋体"/>
                      <w:lang w:val="en-US" w:eastAsia="zh-CN"/>
                    </w:rPr>
                  </w:pPr>
                  <w:r>
                    <w:rPr>
                      <w:rFonts w:hint="eastAsia" w:cs="Times New Roman"/>
                      <w:color w:val="auto"/>
                      <w:sz w:val="24"/>
                      <w:szCs w:val="24"/>
                      <w:highlight w:val="none"/>
                      <w:lang w:val="en-US" w:eastAsia="zh-CN"/>
                    </w:rPr>
                    <w:t>***</w:t>
                  </w:r>
                </w:p>
              </w:tc>
              <w:tc>
                <w:tcPr>
                  <w:tcW w:w="1926" w:type="dxa"/>
                  <w:vAlign w:val="center"/>
                </w:tcPr>
                <w:p w14:paraId="7D66BD69">
                  <w:pPr>
                    <w:bidi w:val="0"/>
                    <w:rPr>
                      <w:rFonts w:hint="eastAsia" w:eastAsia="宋体"/>
                      <w:lang w:val="en-US" w:eastAsia="zh-CN"/>
                    </w:rPr>
                  </w:pPr>
                  <w:r>
                    <w:rPr>
                      <w:rFonts w:hint="eastAsia" w:cs="Times New Roman"/>
                      <w:color w:val="auto"/>
                      <w:sz w:val="24"/>
                      <w:szCs w:val="24"/>
                      <w:highlight w:val="none"/>
                      <w:lang w:val="en-US" w:eastAsia="zh-CN"/>
                    </w:rPr>
                    <w:t>***</w:t>
                  </w:r>
                </w:p>
              </w:tc>
            </w:tr>
            <w:tr w14:paraId="701A6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15" w:type="dxa"/>
                  <w:vAlign w:val="center"/>
                </w:tcPr>
                <w:p w14:paraId="7672815A">
                  <w:pPr>
                    <w:bidi w:val="0"/>
                    <w:rPr>
                      <w:rFonts w:hint="default"/>
                    </w:rPr>
                  </w:pPr>
                  <w:r>
                    <w:rPr>
                      <w:rFonts w:hint="eastAsia" w:cs="Times New Roman"/>
                      <w:color w:val="auto"/>
                      <w:sz w:val="24"/>
                      <w:szCs w:val="24"/>
                      <w:highlight w:val="none"/>
                      <w:lang w:val="en-US" w:eastAsia="zh-CN"/>
                    </w:rPr>
                    <w:t>***</w:t>
                  </w:r>
                </w:p>
              </w:tc>
              <w:tc>
                <w:tcPr>
                  <w:tcW w:w="4120" w:type="dxa"/>
                  <w:vAlign w:val="center"/>
                </w:tcPr>
                <w:p w14:paraId="472EC618">
                  <w:pPr>
                    <w:bidi w:val="0"/>
                    <w:rPr>
                      <w:rFonts w:hint="default"/>
                    </w:rPr>
                  </w:pPr>
                  <w:r>
                    <w:rPr>
                      <w:rFonts w:hint="eastAsia" w:cs="Times New Roman"/>
                      <w:color w:val="auto"/>
                      <w:sz w:val="24"/>
                      <w:szCs w:val="24"/>
                      <w:highlight w:val="none"/>
                      <w:lang w:val="en-US" w:eastAsia="zh-CN"/>
                    </w:rPr>
                    <w:t>***</w:t>
                  </w:r>
                </w:p>
              </w:tc>
              <w:tc>
                <w:tcPr>
                  <w:tcW w:w="996" w:type="dxa"/>
                  <w:vAlign w:val="center"/>
                </w:tcPr>
                <w:p w14:paraId="09826812">
                  <w:pPr>
                    <w:bidi w:val="0"/>
                    <w:rPr>
                      <w:rFonts w:hint="default"/>
                    </w:rPr>
                  </w:pPr>
                  <w:r>
                    <w:rPr>
                      <w:rFonts w:hint="eastAsia" w:cs="Times New Roman"/>
                      <w:color w:val="auto"/>
                      <w:sz w:val="24"/>
                      <w:szCs w:val="24"/>
                      <w:highlight w:val="none"/>
                      <w:lang w:val="en-US" w:eastAsia="zh-CN"/>
                    </w:rPr>
                    <w:t>***</w:t>
                  </w:r>
                </w:p>
              </w:tc>
              <w:tc>
                <w:tcPr>
                  <w:tcW w:w="1926" w:type="dxa"/>
                  <w:vAlign w:val="center"/>
                </w:tcPr>
                <w:p w14:paraId="76591911">
                  <w:pPr>
                    <w:bidi w:val="0"/>
                    <w:rPr>
                      <w:rFonts w:hint="default"/>
                    </w:rPr>
                  </w:pPr>
                  <w:r>
                    <w:rPr>
                      <w:rFonts w:hint="eastAsia" w:cs="Times New Roman"/>
                      <w:color w:val="auto"/>
                      <w:sz w:val="24"/>
                      <w:szCs w:val="24"/>
                      <w:highlight w:val="none"/>
                      <w:lang w:val="en-US" w:eastAsia="zh-CN"/>
                    </w:rPr>
                    <w:t>***</w:t>
                  </w:r>
                </w:p>
              </w:tc>
            </w:tr>
            <w:tr w14:paraId="49F31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15" w:type="dxa"/>
                  <w:vAlign w:val="center"/>
                </w:tcPr>
                <w:p w14:paraId="4296DCC1">
                  <w:pPr>
                    <w:bidi w:val="0"/>
                    <w:rPr>
                      <w:rFonts w:hint="default"/>
                      <w:color w:val="auto"/>
                    </w:rPr>
                  </w:pPr>
                  <w:r>
                    <w:rPr>
                      <w:rFonts w:hint="eastAsia" w:cs="Times New Roman"/>
                      <w:color w:val="auto"/>
                      <w:sz w:val="24"/>
                      <w:szCs w:val="24"/>
                      <w:highlight w:val="none"/>
                      <w:lang w:val="en-US" w:eastAsia="zh-CN"/>
                    </w:rPr>
                    <w:t>***</w:t>
                  </w:r>
                </w:p>
              </w:tc>
              <w:tc>
                <w:tcPr>
                  <w:tcW w:w="4120" w:type="dxa"/>
                  <w:vAlign w:val="center"/>
                </w:tcPr>
                <w:p w14:paraId="37CD5449">
                  <w:pPr>
                    <w:bidi w:val="0"/>
                    <w:rPr>
                      <w:rFonts w:hint="default"/>
                      <w:color w:val="auto"/>
                    </w:rPr>
                  </w:pPr>
                  <w:r>
                    <w:rPr>
                      <w:rFonts w:hint="eastAsia" w:cs="Times New Roman"/>
                      <w:color w:val="auto"/>
                      <w:sz w:val="24"/>
                      <w:szCs w:val="24"/>
                      <w:highlight w:val="none"/>
                      <w:lang w:val="en-US" w:eastAsia="zh-CN"/>
                    </w:rPr>
                    <w:t>***</w:t>
                  </w:r>
                </w:p>
              </w:tc>
              <w:tc>
                <w:tcPr>
                  <w:tcW w:w="996" w:type="dxa"/>
                  <w:vAlign w:val="center"/>
                </w:tcPr>
                <w:p w14:paraId="182A95BD">
                  <w:pPr>
                    <w:bidi w:val="0"/>
                    <w:rPr>
                      <w:rFonts w:hint="default"/>
                      <w:color w:val="auto"/>
                    </w:rPr>
                  </w:pPr>
                  <w:r>
                    <w:rPr>
                      <w:rFonts w:hint="eastAsia" w:cs="Times New Roman"/>
                      <w:color w:val="auto"/>
                      <w:sz w:val="24"/>
                      <w:szCs w:val="24"/>
                      <w:highlight w:val="none"/>
                      <w:lang w:val="en-US" w:eastAsia="zh-CN"/>
                    </w:rPr>
                    <w:t>***</w:t>
                  </w:r>
                </w:p>
              </w:tc>
              <w:tc>
                <w:tcPr>
                  <w:tcW w:w="1926" w:type="dxa"/>
                  <w:vAlign w:val="center"/>
                </w:tcPr>
                <w:p w14:paraId="7DBA8EC2">
                  <w:pPr>
                    <w:bidi w:val="0"/>
                    <w:rPr>
                      <w:rFonts w:hint="default"/>
                      <w:color w:val="auto"/>
                    </w:rPr>
                  </w:pPr>
                  <w:r>
                    <w:rPr>
                      <w:rFonts w:hint="eastAsia" w:cs="Times New Roman"/>
                      <w:color w:val="auto"/>
                      <w:sz w:val="24"/>
                      <w:szCs w:val="24"/>
                      <w:highlight w:val="none"/>
                      <w:lang w:val="en-US" w:eastAsia="zh-CN"/>
                    </w:rPr>
                    <w:t>***</w:t>
                  </w:r>
                </w:p>
              </w:tc>
            </w:tr>
            <w:tr w14:paraId="2EEA9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15" w:type="dxa"/>
                  <w:vAlign w:val="center"/>
                </w:tcPr>
                <w:p w14:paraId="7DD498C8">
                  <w:pPr>
                    <w:bidi w:val="0"/>
                    <w:rPr>
                      <w:rFonts w:hint="default"/>
                      <w:color w:val="auto"/>
                    </w:rPr>
                  </w:pPr>
                  <w:r>
                    <w:rPr>
                      <w:rFonts w:hint="eastAsia" w:cs="Times New Roman"/>
                      <w:color w:val="auto"/>
                      <w:sz w:val="24"/>
                      <w:szCs w:val="24"/>
                      <w:highlight w:val="none"/>
                      <w:lang w:val="en-US" w:eastAsia="zh-CN"/>
                    </w:rPr>
                    <w:t>***</w:t>
                  </w:r>
                </w:p>
              </w:tc>
              <w:tc>
                <w:tcPr>
                  <w:tcW w:w="4120" w:type="dxa"/>
                  <w:vAlign w:val="center"/>
                </w:tcPr>
                <w:p w14:paraId="55ECFF85">
                  <w:pPr>
                    <w:bidi w:val="0"/>
                    <w:rPr>
                      <w:rFonts w:hint="default"/>
                      <w:color w:val="auto"/>
                    </w:rPr>
                  </w:pPr>
                  <w:r>
                    <w:rPr>
                      <w:rFonts w:hint="eastAsia" w:cs="Times New Roman"/>
                      <w:color w:val="auto"/>
                      <w:sz w:val="24"/>
                      <w:szCs w:val="24"/>
                      <w:highlight w:val="none"/>
                      <w:lang w:val="en-US" w:eastAsia="zh-CN"/>
                    </w:rPr>
                    <w:t>***</w:t>
                  </w:r>
                </w:p>
              </w:tc>
              <w:tc>
                <w:tcPr>
                  <w:tcW w:w="996" w:type="dxa"/>
                  <w:vAlign w:val="center"/>
                </w:tcPr>
                <w:p w14:paraId="6D37D89C">
                  <w:pPr>
                    <w:bidi w:val="0"/>
                    <w:rPr>
                      <w:rFonts w:hint="eastAsia"/>
                      <w:color w:val="auto"/>
                      <w:lang w:val="en-US" w:eastAsia="zh-CN"/>
                    </w:rPr>
                  </w:pPr>
                  <w:r>
                    <w:rPr>
                      <w:rFonts w:hint="eastAsia" w:cs="Times New Roman"/>
                      <w:color w:val="auto"/>
                      <w:sz w:val="24"/>
                      <w:szCs w:val="24"/>
                      <w:highlight w:val="none"/>
                      <w:lang w:val="en-US" w:eastAsia="zh-CN"/>
                    </w:rPr>
                    <w:t>***</w:t>
                  </w:r>
                </w:p>
              </w:tc>
              <w:tc>
                <w:tcPr>
                  <w:tcW w:w="1926" w:type="dxa"/>
                  <w:vAlign w:val="center"/>
                </w:tcPr>
                <w:p w14:paraId="093BD291">
                  <w:pPr>
                    <w:bidi w:val="0"/>
                    <w:rPr>
                      <w:rFonts w:hint="default"/>
                      <w:color w:val="auto"/>
                    </w:rPr>
                  </w:pPr>
                  <w:r>
                    <w:rPr>
                      <w:rFonts w:hint="eastAsia" w:cs="Times New Roman"/>
                      <w:color w:val="auto"/>
                      <w:sz w:val="24"/>
                      <w:szCs w:val="24"/>
                      <w:highlight w:val="none"/>
                      <w:lang w:val="en-US" w:eastAsia="zh-CN"/>
                    </w:rPr>
                    <w:t>***</w:t>
                  </w:r>
                </w:p>
              </w:tc>
            </w:tr>
            <w:tr w14:paraId="7B270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15" w:type="dxa"/>
                  <w:vAlign w:val="center"/>
                </w:tcPr>
                <w:p w14:paraId="406CA45D">
                  <w:pPr>
                    <w:bidi w:val="0"/>
                    <w:rPr>
                      <w:rFonts w:hint="default"/>
                      <w:color w:val="FF0000"/>
                      <w:lang w:val="en-US" w:eastAsia="zh-CN"/>
                    </w:rPr>
                  </w:pPr>
                  <w:r>
                    <w:rPr>
                      <w:rFonts w:hint="eastAsia" w:cs="Times New Roman"/>
                      <w:color w:val="auto"/>
                      <w:sz w:val="24"/>
                      <w:szCs w:val="24"/>
                      <w:highlight w:val="none"/>
                      <w:lang w:val="en-US" w:eastAsia="zh-CN"/>
                    </w:rPr>
                    <w:t>***</w:t>
                  </w:r>
                </w:p>
              </w:tc>
              <w:tc>
                <w:tcPr>
                  <w:tcW w:w="4120" w:type="dxa"/>
                  <w:vAlign w:val="center"/>
                </w:tcPr>
                <w:p w14:paraId="58EE3ABD">
                  <w:pPr>
                    <w:bidi w:val="0"/>
                    <w:rPr>
                      <w:rFonts w:hint="eastAsia"/>
                      <w:color w:val="FF0000"/>
                      <w:lang w:val="en-US" w:eastAsia="zh-CN"/>
                    </w:rPr>
                  </w:pPr>
                  <w:r>
                    <w:rPr>
                      <w:rFonts w:hint="eastAsia" w:cs="Times New Roman"/>
                      <w:color w:val="auto"/>
                      <w:sz w:val="24"/>
                      <w:szCs w:val="24"/>
                      <w:highlight w:val="none"/>
                      <w:lang w:val="en-US" w:eastAsia="zh-CN"/>
                    </w:rPr>
                    <w:t>***</w:t>
                  </w:r>
                </w:p>
              </w:tc>
              <w:tc>
                <w:tcPr>
                  <w:tcW w:w="996" w:type="dxa"/>
                  <w:vAlign w:val="center"/>
                </w:tcPr>
                <w:p w14:paraId="6A1ACBCE">
                  <w:pPr>
                    <w:bidi w:val="0"/>
                    <w:rPr>
                      <w:rFonts w:hint="default"/>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3779221E">
                  <w:pPr>
                    <w:bidi w:val="0"/>
                    <w:rPr>
                      <w:rFonts w:hint="default"/>
                      <w:color w:val="FF0000"/>
                      <w:lang w:val="en-US" w:eastAsia="zh-CN"/>
                    </w:rPr>
                  </w:pPr>
                  <w:r>
                    <w:rPr>
                      <w:rFonts w:hint="eastAsia" w:cs="Times New Roman"/>
                      <w:color w:val="auto"/>
                      <w:sz w:val="24"/>
                      <w:szCs w:val="24"/>
                      <w:highlight w:val="none"/>
                      <w:lang w:val="en-US" w:eastAsia="zh-CN"/>
                    </w:rPr>
                    <w:t>***</w:t>
                  </w:r>
                </w:p>
              </w:tc>
            </w:tr>
            <w:tr w14:paraId="7C87A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15" w:type="dxa"/>
                  <w:vAlign w:val="center"/>
                </w:tcPr>
                <w:p w14:paraId="39201764">
                  <w:pPr>
                    <w:bidi w:val="0"/>
                    <w:jc w:val="both"/>
                    <w:rPr>
                      <w:rFonts w:hint="default"/>
                      <w:color w:val="FF0000"/>
                      <w:lang w:val="en-US" w:eastAsia="zh-CN"/>
                    </w:rPr>
                  </w:pPr>
                  <w:r>
                    <w:rPr>
                      <w:rFonts w:hint="eastAsia" w:cs="Times New Roman"/>
                      <w:color w:val="auto"/>
                      <w:sz w:val="24"/>
                      <w:szCs w:val="24"/>
                      <w:highlight w:val="none"/>
                      <w:lang w:val="en-US" w:eastAsia="zh-CN"/>
                    </w:rPr>
                    <w:t>***</w:t>
                  </w:r>
                </w:p>
              </w:tc>
              <w:tc>
                <w:tcPr>
                  <w:tcW w:w="4120" w:type="dxa"/>
                  <w:vAlign w:val="center"/>
                </w:tcPr>
                <w:p w14:paraId="7381110D">
                  <w:pPr>
                    <w:bidi w:val="0"/>
                    <w:rPr>
                      <w:color w:val="FF0000"/>
                    </w:rPr>
                  </w:pPr>
                  <w:r>
                    <w:rPr>
                      <w:rFonts w:hint="eastAsia" w:cs="Times New Roman"/>
                      <w:color w:val="auto"/>
                      <w:sz w:val="24"/>
                      <w:szCs w:val="24"/>
                      <w:highlight w:val="none"/>
                      <w:lang w:val="en-US" w:eastAsia="zh-CN"/>
                    </w:rPr>
                    <w:t>***</w:t>
                  </w:r>
                </w:p>
              </w:tc>
              <w:tc>
                <w:tcPr>
                  <w:tcW w:w="996" w:type="dxa"/>
                  <w:vAlign w:val="center"/>
                </w:tcPr>
                <w:p w14:paraId="55F66497">
                  <w:pPr>
                    <w:bidi w:val="0"/>
                    <w:rPr>
                      <w:rFonts w:hint="default"/>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0FA1D4B2">
                  <w:pPr>
                    <w:bidi w:val="0"/>
                    <w:rPr>
                      <w:rFonts w:hint="default"/>
                      <w:color w:val="FF0000"/>
                      <w:lang w:val="en-US" w:eastAsia="zh-CN"/>
                    </w:rPr>
                  </w:pPr>
                  <w:r>
                    <w:rPr>
                      <w:rFonts w:hint="eastAsia" w:cs="Times New Roman"/>
                      <w:color w:val="auto"/>
                      <w:sz w:val="24"/>
                      <w:szCs w:val="24"/>
                      <w:highlight w:val="none"/>
                      <w:lang w:val="en-US" w:eastAsia="zh-CN"/>
                    </w:rPr>
                    <w:t>***</w:t>
                  </w:r>
                </w:p>
              </w:tc>
            </w:tr>
            <w:tr w14:paraId="362E5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15" w:type="dxa"/>
                  <w:vAlign w:val="center"/>
                </w:tcPr>
                <w:p w14:paraId="4C9011F3">
                  <w:pPr>
                    <w:bidi w:val="0"/>
                    <w:rPr>
                      <w:rFonts w:hint="default"/>
                      <w:color w:val="FF0000"/>
                    </w:rPr>
                  </w:pPr>
                  <w:r>
                    <w:rPr>
                      <w:rFonts w:hint="eastAsia" w:cs="Times New Roman"/>
                      <w:color w:val="auto"/>
                      <w:sz w:val="24"/>
                      <w:szCs w:val="24"/>
                      <w:highlight w:val="none"/>
                      <w:lang w:val="en-US" w:eastAsia="zh-CN"/>
                    </w:rPr>
                    <w:t>***</w:t>
                  </w:r>
                </w:p>
              </w:tc>
              <w:tc>
                <w:tcPr>
                  <w:tcW w:w="4120" w:type="dxa"/>
                  <w:vAlign w:val="center"/>
                </w:tcPr>
                <w:p w14:paraId="794C846E">
                  <w:pPr>
                    <w:bidi w:val="0"/>
                    <w:rPr>
                      <w:rFonts w:hint="default"/>
                      <w:color w:val="FF0000"/>
                    </w:rPr>
                  </w:pPr>
                  <w:r>
                    <w:rPr>
                      <w:rFonts w:hint="eastAsia" w:cs="Times New Roman"/>
                      <w:color w:val="auto"/>
                      <w:sz w:val="24"/>
                      <w:szCs w:val="24"/>
                      <w:highlight w:val="none"/>
                      <w:lang w:val="en-US" w:eastAsia="zh-CN"/>
                    </w:rPr>
                    <w:t>***</w:t>
                  </w:r>
                </w:p>
              </w:tc>
              <w:tc>
                <w:tcPr>
                  <w:tcW w:w="996" w:type="dxa"/>
                  <w:vAlign w:val="center"/>
                </w:tcPr>
                <w:p w14:paraId="0265BFA3">
                  <w:pPr>
                    <w:bidi w:val="0"/>
                    <w:rPr>
                      <w:rFonts w:hint="eastAsia"/>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2B92EB9D">
                  <w:pPr>
                    <w:bidi w:val="0"/>
                    <w:rPr>
                      <w:rFonts w:hint="default"/>
                      <w:color w:val="FF0000"/>
                    </w:rPr>
                  </w:pPr>
                  <w:r>
                    <w:rPr>
                      <w:rFonts w:hint="eastAsia" w:cs="Times New Roman"/>
                      <w:color w:val="auto"/>
                      <w:sz w:val="24"/>
                      <w:szCs w:val="24"/>
                      <w:highlight w:val="none"/>
                      <w:lang w:val="en-US" w:eastAsia="zh-CN"/>
                    </w:rPr>
                    <w:t>***</w:t>
                  </w:r>
                </w:p>
              </w:tc>
            </w:tr>
            <w:tr w14:paraId="72D44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15" w:type="dxa"/>
                  <w:vAlign w:val="center"/>
                </w:tcPr>
                <w:p w14:paraId="0802E8ED">
                  <w:pPr>
                    <w:bidi w:val="0"/>
                    <w:rPr>
                      <w:rFonts w:hint="default"/>
                      <w:color w:val="FF0000"/>
                      <w:lang w:val="en-US" w:eastAsia="zh-CN"/>
                    </w:rPr>
                  </w:pPr>
                  <w:r>
                    <w:rPr>
                      <w:rFonts w:hint="eastAsia" w:cs="Times New Roman"/>
                      <w:color w:val="auto"/>
                      <w:sz w:val="24"/>
                      <w:szCs w:val="24"/>
                      <w:highlight w:val="none"/>
                      <w:lang w:val="en-US" w:eastAsia="zh-CN"/>
                    </w:rPr>
                    <w:t>***</w:t>
                  </w:r>
                </w:p>
              </w:tc>
              <w:tc>
                <w:tcPr>
                  <w:tcW w:w="4120" w:type="dxa"/>
                  <w:vAlign w:val="center"/>
                </w:tcPr>
                <w:p w14:paraId="633F16C8">
                  <w:pPr>
                    <w:bidi w:val="0"/>
                    <w:rPr>
                      <w:rFonts w:hint="default"/>
                      <w:color w:val="FF0000"/>
                    </w:rPr>
                  </w:pPr>
                  <w:r>
                    <w:rPr>
                      <w:rFonts w:hint="eastAsia" w:cs="Times New Roman"/>
                      <w:color w:val="auto"/>
                      <w:sz w:val="24"/>
                      <w:szCs w:val="24"/>
                      <w:highlight w:val="none"/>
                      <w:lang w:val="en-US" w:eastAsia="zh-CN"/>
                    </w:rPr>
                    <w:t>***</w:t>
                  </w:r>
                </w:p>
              </w:tc>
              <w:tc>
                <w:tcPr>
                  <w:tcW w:w="996" w:type="dxa"/>
                  <w:vAlign w:val="center"/>
                </w:tcPr>
                <w:p w14:paraId="1CA7D421">
                  <w:pPr>
                    <w:bidi w:val="0"/>
                    <w:rPr>
                      <w:rFonts w:hint="eastAsia"/>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7E9DA689">
                  <w:pPr>
                    <w:bidi w:val="0"/>
                    <w:rPr>
                      <w:rFonts w:hint="default"/>
                      <w:color w:val="FF0000"/>
                    </w:rPr>
                  </w:pPr>
                  <w:r>
                    <w:rPr>
                      <w:rFonts w:hint="eastAsia" w:cs="Times New Roman"/>
                      <w:color w:val="auto"/>
                      <w:sz w:val="24"/>
                      <w:szCs w:val="24"/>
                      <w:highlight w:val="none"/>
                      <w:lang w:val="en-US" w:eastAsia="zh-CN"/>
                    </w:rPr>
                    <w:t>***</w:t>
                  </w:r>
                </w:p>
              </w:tc>
            </w:tr>
            <w:tr w14:paraId="70F33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015" w:type="dxa"/>
                  <w:vAlign w:val="center"/>
                </w:tcPr>
                <w:p w14:paraId="65919243">
                  <w:pPr>
                    <w:bidi w:val="0"/>
                    <w:rPr>
                      <w:rFonts w:hint="default"/>
                      <w:color w:val="FF0000"/>
                      <w:lang w:val="en-US"/>
                    </w:rPr>
                  </w:pPr>
                  <w:r>
                    <w:rPr>
                      <w:rFonts w:hint="eastAsia" w:cs="Times New Roman"/>
                      <w:color w:val="auto"/>
                      <w:sz w:val="24"/>
                      <w:szCs w:val="24"/>
                      <w:highlight w:val="none"/>
                      <w:lang w:val="en-US" w:eastAsia="zh-CN"/>
                    </w:rPr>
                    <w:t>***</w:t>
                  </w:r>
                </w:p>
              </w:tc>
              <w:tc>
                <w:tcPr>
                  <w:tcW w:w="4120" w:type="dxa"/>
                  <w:vAlign w:val="center"/>
                </w:tcPr>
                <w:p w14:paraId="23A3B057">
                  <w:pPr>
                    <w:bidi w:val="0"/>
                    <w:rPr>
                      <w:rFonts w:hint="default"/>
                      <w:color w:val="FF0000"/>
                    </w:rPr>
                  </w:pPr>
                  <w:r>
                    <w:rPr>
                      <w:rFonts w:hint="eastAsia" w:cs="Times New Roman"/>
                      <w:color w:val="auto"/>
                      <w:sz w:val="24"/>
                      <w:szCs w:val="24"/>
                      <w:highlight w:val="none"/>
                      <w:lang w:val="en-US" w:eastAsia="zh-CN"/>
                    </w:rPr>
                    <w:t>***</w:t>
                  </w:r>
                </w:p>
              </w:tc>
              <w:tc>
                <w:tcPr>
                  <w:tcW w:w="996" w:type="dxa"/>
                  <w:vAlign w:val="center"/>
                </w:tcPr>
                <w:p w14:paraId="283F18A7">
                  <w:pPr>
                    <w:bidi w:val="0"/>
                    <w:rPr>
                      <w:rFonts w:hint="eastAsia"/>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4847DA0F">
                  <w:pPr>
                    <w:bidi w:val="0"/>
                    <w:rPr>
                      <w:rFonts w:hint="default"/>
                      <w:color w:val="FF0000"/>
                    </w:rPr>
                  </w:pPr>
                  <w:r>
                    <w:rPr>
                      <w:rFonts w:hint="eastAsia" w:cs="Times New Roman"/>
                      <w:color w:val="auto"/>
                      <w:sz w:val="24"/>
                      <w:szCs w:val="24"/>
                      <w:highlight w:val="none"/>
                      <w:lang w:val="en-US" w:eastAsia="zh-CN"/>
                    </w:rPr>
                    <w:t>***</w:t>
                  </w:r>
                </w:p>
              </w:tc>
            </w:tr>
            <w:tr w14:paraId="77C4F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015" w:type="dxa"/>
                  <w:vAlign w:val="center"/>
                </w:tcPr>
                <w:p w14:paraId="1553D376">
                  <w:pPr>
                    <w:bidi w:val="0"/>
                    <w:rPr>
                      <w:rFonts w:hint="default"/>
                      <w:color w:val="FF0000"/>
                    </w:rPr>
                  </w:pPr>
                  <w:r>
                    <w:rPr>
                      <w:rFonts w:hint="eastAsia" w:cs="Times New Roman"/>
                      <w:color w:val="auto"/>
                      <w:sz w:val="24"/>
                      <w:szCs w:val="24"/>
                      <w:highlight w:val="none"/>
                      <w:lang w:val="en-US" w:eastAsia="zh-CN"/>
                    </w:rPr>
                    <w:t>***</w:t>
                  </w:r>
                </w:p>
              </w:tc>
              <w:tc>
                <w:tcPr>
                  <w:tcW w:w="4120" w:type="dxa"/>
                  <w:vAlign w:val="center"/>
                </w:tcPr>
                <w:p w14:paraId="7E5FCA52">
                  <w:pPr>
                    <w:bidi w:val="0"/>
                    <w:rPr>
                      <w:rFonts w:hint="default"/>
                      <w:color w:val="FF0000"/>
                    </w:rPr>
                  </w:pPr>
                  <w:r>
                    <w:rPr>
                      <w:rFonts w:hint="eastAsia" w:cs="Times New Roman"/>
                      <w:color w:val="auto"/>
                      <w:sz w:val="24"/>
                      <w:szCs w:val="24"/>
                      <w:highlight w:val="none"/>
                      <w:lang w:val="en-US" w:eastAsia="zh-CN"/>
                    </w:rPr>
                    <w:t>***</w:t>
                  </w:r>
                </w:p>
              </w:tc>
              <w:tc>
                <w:tcPr>
                  <w:tcW w:w="996" w:type="dxa"/>
                  <w:vAlign w:val="center"/>
                </w:tcPr>
                <w:p w14:paraId="36619E98">
                  <w:pPr>
                    <w:bidi w:val="0"/>
                    <w:rPr>
                      <w:rFonts w:hint="eastAsia"/>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6455347E">
                  <w:pPr>
                    <w:bidi w:val="0"/>
                    <w:rPr>
                      <w:rFonts w:hint="default"/>
                      <w:color w:val="FF0000"/>
                    </w:rPr>
                  </w:pPr>
                  <w:r>
                    <w:rPr>
                      <w:rFonts w:hint="eastAsia" w:cs="Times New Roman"/>
                      <w:color w:val="auto"/>
                      <w:sz w:val="24"/>
                      <w:szCs w:val="24"/>
                      <w:highlight w:val="none"/>
                      <w:lang w:val="en-US" w:eastAsia="zh-CN"/>
                    </w:rPr>
                    <w:t>***</w:t>
                  </w:r>
                </w:p>
              </w:tc>
            </w:tr>
            <w:tr w14:paraId="2432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015" w:type="dxa"/>
                  <w:vAlign w:val="center"/>
                </w:tcPr>
                <w:p w14:paraId="5A1F7C2D">
                  <w:pPr>
                    <w:bidi w:val="0"/>
                    <w:rPr>
                      <w:rFonts w:hint="eastAsia"/>
                      <w:color w:val="FF0000"/>
                      <w:lang w:val="en-US" w:eastAsia="zh-CN"/>
                    </w:rPr>
                  </w:pPr>
                  <w:r>
                    <w:rPr>
                      <w:rFonts w:hint="eastAsia" w:cs="Times New Roman"/>
                      <w:color w:val="auto"/>
                      <w:sz w:val="24"/>
                      <w:szCs w:val="24"/>
                      <w:highlight w:val="none"/>
                      <w:lang w:val="en-US" w:eastAsia="zh-CN"/>
                    </w:rPr>
                    <w:t>***</w:t>
                  </w:r>
                </w:p>
              </w:tc>
              <w:tc>
                <w:tcPr>
                  <w:tcW w:w="4120" w:type="dxa"/>
                  <w:vAlign w:val="center"/>
                </w:tcPr>
                <w:p w14:paraId="66F191F4">
                  <w:pPr>
                    <w:bidi w:val="0"/>
                    <w:rPr>
                      <w:rFonts w:hint="default"/>
                      <w:color w:val="FF0000"/>
                      <w:lang w:val="en-US" w:eastAsia="zh-CN"/>
                    </w:rPr>
                  </w:pPr>
                  <w:r>
                    <w:rPr>
                      <w:rFonts w:hint="eastAsia" w:cs="Times New Roman"/>
                      <w:color w:val="auto"/>
                      <w:sz w:val="24"/>
                      <w:szCs w:val="24"/>
                      <w:highlight w:val="none"/>
                      <w:lang w:val="en-US" w:eastAsia="zh-CN"/>
                    </w:rPr>
                    <w:t>***</w:t>
                  </w:r>
                </w:p>
              </w:tc>
              <w:tc>
                <w:tcPr>
                  <w:tcW w:w="996" w:type="dxa"/>
                  <w:vAlign w:val="center"/>
                </w:tcPr>
                <w:p w14:paraId="5FC4E0E1">
                  <w:pPr>
                    <w:bidi w:val="0"/>
                    <w:rPr>
                      <w:rFonts w:hint="default"/>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78BC5C98">
                  <w:pPr>
                    <w:bidi w:val="0"/>
                    <w:rPr>
                      <w:rFonts w:hint="eastAsia" w:eastAsia="宋体"/>
                      <w:color w:val="FF0000"/>
                      <w:lang w:val="en-US" w:eastAsia="zh-CN"/>
                    </w:rPr>
                  </w:pPr>
                  <w:r>
                    <w:rPr>
                      <w:rFonts w:hint="eastAsia" w:cs="Times New Roman"/>
                      <w:color w:val="auto"/>
                      <w:sz w:val="24"/>
                      <w:szCs w:val="24"/>
                      <w:highlight w:val="none"/>
                      <w:lang w:val="en-US" w:eastAsia="zh-CN"/>
                    </w:rPr>
                    <w:t>***</w:t>
                  </w:r>
                </w:p>
              </w:tc>
            </w:tr>
            <w:tr w14:paraId="179B7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015" w:type="dxa"/>
                  <w:vAlign w:val="center"/>
                </w:tcPr>
                <w:p w14:paraId="1948B370">
                  <w:pPr>
                    <w:bidi w:val="0"/>
                    <w:rPr>
                      <w:rFonts w:hint="default"/>
                      <w:color w:val="FF0000"/>
                      <w:lang w:val="en-US" w:eastAsia="zh-CN"/>
                    </w:rPr>
                  </w:pPr>
                  <w:r>
                    <w:rPr>
                      <w:rFonts w:hint="eastAsia" w:cs="Times New Roman"/>
                      <w:color w:val="auto"/>
                      <w:sz w:val="24"/>
                      <w:szCs w:val="24"/>
                      <w:highlight w:val="none"/>
                      <w:lang w:val="en-US" w:eastAsia="zh-CN"/>
                    </w:rPr>
                    <w:t>***</w:t>
                  </w:r>
                </w:p>
              </w:tc>
              <w:tc>
                <w:tcPr>
                  <w:tcW w:w="4120" w:type="dxa"/>
                  <w:vAlign w:val="center"/>
                </w:tcPr>
                <w:p w14:paraId="0EC000C6">
                  <w:pPr>
                    <w:keepNext w:val="0"/>
                    <w:keepLines w:val="0"/>
                    <w:widowControl/>
                    <w:suppressLineNumbers w:val="0"/>
                    <w:jc w:val="left"/>
                    <w:rPr>
                      <w:rFonts w:hint="default"/>
                      <w:color w:val="FF0000"/>
                      <w:lang w:val="en-US" w:eastAsia="zh-CN"/>
                    </w:rPr>
                  </w:pPr>
                  <w:r>
                    <w:rPr>
                      <w:rFonts w:hint="eastAsia" w:cs="Times New Roman"/>
                      <w:color w:val="auto"/>
                      <w:sz w:val="24"/>
                      <w:szCs w:val="24"/>
                      <w:highlight w:val="none"/>
                      <w:lang w:val="en-US" w:eastAsia="zh-CN"/>
                    </w:rPr>
                    <w:t>***</w:t>
                  </w:r>
                </w:p>
              </w:tc>
              <w:tc>
                <w:tcPr>
                  <w:tcW w:w="996" w:type="dxa"/>
                  <w:vAlign w:val="center"/>
                </w:tcPr>
                <w:p w14:paraId="26EEB61B">
                  <w:pPr>
                    <w:bidi w:val="0"/>
                    <w:rPr>
                      <w:rFonts w:hint="default"/>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2591DA16">
                  <w:pPr>
                    <w:bidi w:val="0"/>
                    <w:rPr>
                      <w:rFonts w:hint="eastAsia" w:eastAsia="宋体"/>
                      <w:color w:val="FF0000"/>
                      <w:lang w:val="en-US" w:eastAsia="zh-CN"/>
                    </w:rPr>
                  </w:pPr>
                  <w:r>
                    <w:rPr>
                      <w:rFonts w:hint="eastAsia" w:cs="Times New Roman"/>
                      <w:color w:val="auto"/>
                      <w:sz w:val="24"/>
                      <w:szCs w:val="24"/>
                      <w:highlight w:val="none"/>
                      <w:lang w:val="en-US" w:eastAsia="zh-CN"/>
                    </w:rPr>
                    <w:t>***</w:t>
                  </w:r>
                </w:p>
              </w:tc>
            </w:tr>
            <w:tr w14:paraId="14CB3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015" w:type="dxa"/>
                  <w:vAlign w:val="center"/>
                </w:tcPr>
                <w:p w14:paraId="134E0E5A">
                  <w:pPr>
                    <w:bidi w:val="0"/>
                    <w:rPr>
                      <w:rFonts w:hint="default" w:ascii="Times New Roman" w:hAnsi="Times New Roman" w:eastAsia="宋体" w:cs="Times New Roman"/>
                      <w:color w:val="FF0000"/>
                      <w:kern w:val="0"/>
                      <w:sz w:val="20"/>
                      <w:szCs w:val="20"/>
                      <w:lang w:val="en-US" w:eastAsia="zh-CN" w:bidi="ar"/>
                    </w:rPr>
                  </w:pPr>
                  <w:r>
                    <w:rPr>
                      <w:rFonts w:hint="eastAsia" w:cs="Times New Roman"/>
                      <w:color w:val="auto"/>
                      <w:sz w:val="24"/>
                      <w:szCs w:val="24"/>
                      <w:highlight w:val="none"/>
                      <w:lang w:val="en-US" w:eastAsia="zh-CN"/>
                    </w:rPr>
                    <w:t>***</w:t>
                  </w:r>
                </w:p>
              </w:tc>
              <w:tc>
                <w:tcPr>
                  <w:tcW w:w="4120" w:type="dxa"/>
                  <w:vAlign w:val="center"/>
                </w:tcPr>
                <w:p w14:paraId="501DE088">
                  <w:pPr>
                    <w:bidi w:val="0"/>
                    <w:rPr>
                      <w:rFonts w:hint="default" w:ascii="Times New Roman" w:hAnsi="Times New Roman" w:eastAsia="宋体" w:cs="Times New Roman"/>
                      <w:color w:val="FF0000"/>
                      <w:kern w:val="0"/>
                      <w:sz w:val="20"/>
                      <w:szCs w:val="20"/>
                      <w:lang w:val="en-US" w:eastAsia="zh-CN" w:bidi="ar"/>
                    </w:rPr>
                  </w:pPr>
                  <w:r>
                    <w:rPr>
                      <w:rFonts w:hint="eastAsia" w:cs="Times New Roman"/>
                      <w:color w:val="auto"/>
                      <w:sz w:val="24"/>
                      <w:szCs w:val="24"/>
                      <w:highlight w:val="none"/>
                      <w:lang w:val="en-US" w:eastAsia="zh-CN"/>
                    </w:rPr>
                    <w:t>***</w:t>
                  </w:r>
                </w:p>
              </w:tc>
              <w:tc>
                <w:tcPr>
                  <w:tcW w:w="996" w:type="dxa"/>
                  <w:vAlign w:val="center"/>
                </w:tcPr>
                <w:p w14:paraId="5B339522">
                  <w:pPr>
                    <w:bidi w:val="0"/>
                    <w:rPr>
                      <w:rFonts w:hint="default"/>
                      <w:color w:val="FF0000"/>
                      <w:lang w:val="en-US" w:eastAsia="zh-CN"/>
                    </w:rPr>
                  </w:pPr>
                  <w:r>
                    <w:rPr>
                      <w:rFonts w:hint="eastAsia" w:cs="Times New Roman"/>
                      <w:color w:val="auto"/>
                      <w:sz w:val="24"/>
                      <w:szCs w:val="24"/>
                      <w:highlight w:val="none"/>
                      <w:lang w:val="en-US" w:eastAsia="zh-CN"/>
                    </w:rPr>
                    <w:t>***</w:t>
                  </w:r>
                </w:p>
              </w:tc>
              <w:tc>
                <w:tcPr>
                  <w:tcW w:w="1926" w:type="dxa"/>
                  <w:vAlign w:val="center"/>
                </w:tcPr>
                <w:p w14:paraId="189E578F">
                  <w:pPr>
                    <w:bidi w:val="0"/>
                    <w:rPr>
                      <w:rFonts w:hint="eastAsia" w:eastAsia="宋体"/>
                      <w:color w:val="FF0000"/>
                      <w:lang w:val="en-US" w:eastAsia="zh-CN"/>
                    </w:rPr>
                  </w:pPr>
                  <w:r>
                    <w:rPr>
                      <w:rFonts w:hint="eastAsia" w:cs="Times New Roman"/>
                      <w:color w:val="auto"/>
                      <w:sz w:val="24"/>
                      <w:szCs w:val="24"/>
                      <w:highlight w:val="none"/>
                      <w:lang w:val="en-US" w:eastAsia="zh-CN"/>
                    </w:rPr>
                    <w:t>***</w:t>
                  </w:r>
                </w:p>
              </w:tc>
            </w:tr>
          </w:tbl>
          <w:p w14:paraId="65867550">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7、劳动定员及工作制度</w:t>
            </w:r>
          </w:p>
          <w:p w14:paraId="46074BE9">
            <w:pPr>
              <w:widowControl/>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本项目员工150人，年工作时间300天，根据企业提供资料，生产岗位实行8小时一班制，全年工作时数2400小时。公司设有食堂，无员工住宿。</w:t>
            </w:r>
          </w:p>
          <w:p w14:paraId="5EAB0612">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8、项目平面布置</w:t>
            </w:r>
          </w:p>
          <w:p w14:paraId="24C51612">
            <w:pPr>
              <w:pStyle w:val="29"/>
              <w:spacing w:line="360" w:lineRule="auto"/>
              <w:ind w:firstLine="48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项目设置生产厂房、实验室、办公室等，厂房内布置合理、物流顺畅，卫生条件和交通、安全、消防均满足企业及行业要求，具体情况详见厂区平面布置图（附图</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eastAsia="zh-CN"/>
              </w:rPr>
              <w:t>。</w:t>
            </w:r>
          </w:p>
          <w:p w14:paraId="65C892BA">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w:t>
            </w:r>
            <w:r>
              <w:rPr>
                <w:rFonts w:hint="default" w:ascii="Times New Roman" w:hAnsi="Times New Roman" w:cs="Times New Roman"/>
                <w:b/>
                <w:bCs/>
                <w:color w:val="auto"/>
                <w:kern w:val="0"/>
                <w:sz w:val="24"/>
                <w:highlight w:val="none"/>
                <w:lang w:bidi="ar"/>
              </w:rPr>
              <w:t>项目周边环境概况</w:t>
            </w:r>
          </w:p>
          <w:p w14:paraId="1635DC93">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本项目位</w:t>
            </w:r>
            <w:r>
              <w:rPr>
                <w:rFonts w:hint="default" w:ascii="Times New Roman" w:hAnsi="Times New Roman" w:cs="Times New Roman"/>
                <w:color w:val="auto"/>
                <w:sz w:val="24"/>
                <w:highlight w:val="none"/>
              </w:rPr>
              <w:t>于扬州经济技术开发区金山路129号，</w:t>
            </w:r>
            <w:r>
              <w:rPr>
                <w:rFonts w:hint="default" w:ascii="Times New Roman" w:hAnsi="Times New Roman" w:cs="Times New Roman"/>
                <w:color w:val="auto"/>
                <w:kern w:val="0"/>
                <w:sz w:val="24"/>
                <w:highlight w:val="none"/>
                <w:lang w:bidi="ar"/>
              </w:rPr>
              <w:t>租赁现有标准</w:t>
            </w:r>
            <w:r>
              <w:rPr>
                <w:rFonts w:hint="default" w:ascii="Times New Roman" w:hAnsi="Times New Roman" w:cs="Times New Roman"/>
                <w:color w:val="auto"/>
                <w:kern w:val="0"/>
                <w:sz w:val="24"/>
                <w:highlight w:val="none"/>
                <w:lang w:val="en-US" w:eastAsia="zh-CN" w:bidi="ar"/>
              </w:rPr>
              <w:t>厂区</w:t>
            </w:r>
            <w:r>
              <w:rPr>
                <w:rFonts w:hint="default" w:ascii="Times New Roman" w:hAnsi="Times New Roman" w:cs="Times New Roman"/>
                <w:color w:val="auto"/>
                <w:kern w:val="0"/>
                <w:sz w:val="24"/>
                <w:highlight w:val="none"/>
                <w:lang w:bidi="ar"/>
              </w:rPr>
              <w:t>，租赁面积为</w:t>
            </w:r>
            <w:r>
              <w:rPr>
                <w:rFonts w:hint="eastAsia" w:cs="Times New Roman"/>
                <w:color w:val="auto"/>
                <w:kern w:val="0"/>
                <w:sz w:val="24"/>
                <w:highlight w:val="none"/>
                <w:lang w:val="en-US" w:eastAsia="zh-CN" w:bidi="ar"/>
              </w:rPr>
              <w:t>38000</w:t>
            </w:r>
            <w:r>
              <w:rPr>
                <w:rFonts w:hint="default" w:ascii="Times New Roman" w:hAnsi="Times New Roman" w:cs="Times New Roman"/>
                <w:color w:val="auto"/>
                <w:kern w:val="0"/>
                <w:sz w:val="24"/>
                <w:highlight w:val="none"/>
                <w:lang w:bidi="ar"/>
              </w:rPr>
              <w:t>平方米，厂区内污水管网齐全。</w:t>
            </w:r>
            <w:r>
              <w:rPr>
                <w:rFonts w:hint="default" w:ascii="Times New Roman" w:hAnsi="Times New Roman" w:cs="Times New Roman"/>
                <w:color w:val="auto"/>
                <w:sz w:val="24"/>
                <w:highlight w:val="none"/>
              </w:rPr>
              <w:t>项目所在地为工业用地，经实地考察，</w:t>
            </w:r>
            <w:r>
              <w:rPr>
                <w:rFonts w:hint="eastAsia" w:cs="Times New Roman"/>
                <w:color w:val="auto"/>
                <w:sz w:val="24"/>
                <w:highlight w:val="none"/>
                <w:lang w:val="en-US" w:eastAsia="zh-CN"/>
              </w:rPr>
              <w:t>扬州德沪智能装备有限公司</w:t>
            </w:r>
            <w:r>
              <w:rPr>
                <w:rFonts w:hint="default" w:ascii="Times New Roman" w:hAnsi="Times New Roman" w:cs="Times New Roman"/>
                <w:color w:val="auto"/>
                <w:sz w:val="24"/>
                <w:highlight w:val="none"/>
              </w:rPr>
              <w:t>厂区东侧为</w:t>
            </w:r>
            <w:r>
              <w:rPr>
                <w:rFonts w:hint="eastAsia" w:cs="Times New Roman"/>
                <w:color w:val="auto"/>
                <w:sz w:val="24"/>
                <w:highlight w:val="none"/>
                <w:lang w:val="en-US" w:eastAsia="zh-CN"/>
              </w:rPr>
              <w:t>晶澳（扬州）新能源有限公司</w:t>
            </w:r>
            <w:r>
              <w:rPr>
                <w:rFonts w:hint="default" w:ascii="Times New Roman" w:hAnsi="Times New Roman" w:cs="Times New Roman"/>
                <w:color w:val="auto"/>
                <w:sz w:val="24"/>
                <w:highlight w:val="none"/>
              </w:rPr>
              <w:t>；南侧为</w:t>
            </w:r>
            <w:r>
              <w:rPr>
                <w:rFonts w:hint="eastAsia" w:cs="Times New Roman"/>
                <w:color w:val="auto"/>
                <w:sz w:val="24"/>
                <w:highlight w:val="none"/>
                <w:lang w:val="en-US" w:eastAsia="zh-CN"/>
              </w:rPr>
              <w:t>扬州德沪智能装备有限公司二期用地</w:t>
            </w:r>
            <w:r>
              <w:rPr>
                <w:rFonts w:hint="default" w:ascii="Times New Roman" w:hAnsi="Times New Roman" w:cs="Times New Roman"/>
                <w:color w:val="auto"/>
                <w:sz w:val="24"/>
                <w:highlight w:val="none"/>
              </w:rPr>
              <w:t>；西侧为</w:t>
            </w:r>
            <w:r>
              <w:rPr>
                <w:rFonts w:hint="eastAsia" w:cs="Times New Roman"/>
                <w:color w:val="auto"/>
                <w:sz w:val="24"/>
                <w:highlight w:val="none"/>
                <w:lang w:val="en-US" w:eastAsia="zh-CN"/>
              </w:rPr>
              <w:t>马港河</w:t>
            </w:r>
            <w:r>
              <w:rPr>
                <w:rFonts w:hint="default" w:ascii="Times New Roman" w:hAnsi="Times New Roman" w:cs="Times New Roman"/>
                <w:color w:val="auto"/>
                <w:sz w:val="24"/>
                <w:highlight w:val="none"/>
              </w:rPr>
              <w:t>；北侧为</w:t>
            </w:r>
            <w:r>
              <w:rPr>
                <w:rFonts w:hint="eastAsia" w:cs="Times New Roman"/>
                <w:color w:val="auto"/>
                <w:sz w:val="24"/>
                <w:highlight w:val="none"/>
                <w:lang w:val="en-US" w:eastAsia="zh-CN"/>
              </w:rPr>
              <w:t>智能电网产业园</w:t>
            </w:r>
            <w:r>
              <w:rPr>
                <w:rFonts w:hint="default" w:ascii="Times New Roman" w:hAnsi="Times New Roman" w:cs="Times New Roman"/>
                <w:color w:val="auto"/>
                <w:sz w:val="24"/>
                <w:highlight w:val="none"/>
              </w:rPr>
              <w:t>。项目所在区域主要以工业生产为主要功能，项目</w:t>
            </w:r>
            <w:r>
              <w:rPr>
                <w:rFonts w:hint="default" w:ascii="Times New Roman" w:hAnsi="Times New Roman" w:cs="Times New Roman"/>
                <w:color w:val="auto"/>
                <w:kern w:val="0"/>
                <w:sz w:val="24"/>
                <w:highlight w:val="none"/>
                <w:lang w:bidi="ar"/>
              </w:rPr>
              <w:t>具体地理位置见附图1，项目周围500米状况图见附图</w:t>
            </w:r>
            <w:r>
              <w:rPr>
                <w:rFonts w:hint="eastAsia" w:cs="Times New Roman"/>
                <w:color w:val="auto"/>
                <w:kern w:val="0"/>
                <w:sz w:val="24"/>
                <w:highlight w:val="none"/>
                <w:lang w:val="en-US" w:eastAsia="zh-CN" w:bidi="ar"/>
              </w:rPr>
              <w:t>2</w:t>
            </w:r>
            <w:r>
              <w:rPr>
                <w:rFonts w:hint="default" w:ascii="Times New Roman" w:hAnsi="Times New Roman" w:cs="Times New Roman"/>
                <w:color w:val="auto"/>
                <w:kern w:val="0"/>
                <w:sz w:val="24"/>
                <w:highlight w:val="none"/>
                <w:lang w:bidi="ar"/>
              </w:rPr>
              <w:t>。</w:t>
            </w:r>
          </w:p>
          <w:p w14:paraId="1CBD8462">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10、水平衡分析</w:t>
            </w:r>
          </w:p>
          <w:p w14:paraId="3C87088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本项目用水由区域市政自来水管网和纯水机产生的纯水供应，目前区域供水管网已经建设完成。具体用水包括生活用水、食堂用水、纯水制备用水、</w:t>
            </w:r>
            <w:r>
              <w:rPr>
                <w:rFonts w:hint="default" w:ascii="Times New Roman" w:hAnsi="Times New Roman" w:cs="Times New Roman"/>
                <w:color w:val="auto"/>
                <w:sz w:val="24"/>
                <w:highlight w:val="none"/>
                <w:lang w:eastAsia="zh-CN"/>
              </w:rPr>
              <w:t>清洗用水</w:t>
            </w:r>
            <w:r>
              <w:rPr>
                <w:rFonts w:hint="default" w:ascii="Times New Roman" w:hAnsi="Times New Roman" w:cs="Times New Roman"/>
                <w:color w:val="auto"/>
                <w:sz w:val="24"/>
                <w:highlight w:val="none"/>
              </w:rPr>
              <w:t>、循环冷却水和清洗剂用水。</w:t>
            </w:r>
          </w:p>
          <w:p w14:paraId="64D0314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①生活用水</w:t>
            </w:r>
          </w:p>
          <w:p w14:paraId="47D9724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拟建项目定员150人，参考《建筑给排水设计规范》（GB50015-2019）中“工业企业生活间洗手盆50</w:t>
            </w: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t>L/（人×天）”的用水定额，年工作时间300天则生活用水量为</w:t>
            </w:r>
            <w:r>
              <w:rPr>
                <w:rFonts w:hint="eastAsia" w:cs="Times New Roman"/>
                <w:color w:val="auto"/>
                <w:sz w:val="24"/>
                <w:highlight w:val="none"/>
                <w:lang w:val="en-US" w:eastAsia="zh-CN"/>
              </w:rPr>
              <w:t xml:space="preserve">2250 </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/a，产污系数按80%计，则排水量为</w:t>
            </w:r>
            <w:r>
              <w:rPr>
                <w:rFonts w:hint="eastAsia" w:cs="Times New Roman"/>
                <w:color w:val="auto"/>
                <w:sz w:val="24"/>
                <w:highlight w:val="none"/>
                <w:lang w:val="en-US" w:eastAsia="zh-CN"/>
              </w:rPr>
              <w:t>1800</w:t>
            </w:r>
            <w:r>
              <w:rPr>
                <w:rFonts w:hint="default" w:ascii="Times New Roman" w:hAnsi="Times New Roman" w:cs="Times New Roman"/>
                <w:color w:val="auto"/>
                <w:sz w:val="24"/>
                <w:highlight w:val="none"/>
              </w:rPr>
              <w:t xml:space="preserve"> m </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p>
          <w:p w14:paraId="053B9C5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②食堂用水</w:t>
            </w:r>
          </w:p>
          <w:p w14:paraId="32EB5C8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厂区内设有1个食堂，根据《江苏省城市生活与公共用水定额》(2019 年修订)，食堂人均每餐用水按照15 L/人·d计，每天就餐人员为150人次，则食堂用水量合计为675 m </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/a，产污系数按80%计，则排水量为540 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p>
          <w:p w14:paraId="2709BE85">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③</w:t>
            </w:r>
            <w:r>
              <w:rPr>
                <w:rFonts w:hint="default" w:ascii="Times New Roman" w:hAnsi="Times New Roman" w:cs="Times New Roman"/>
                <w:color w:val="auto"/>
                <w:sz w:val="24"/>
                <w:highlight w:val="none"/>
              </w:rPr>
              <w:t>循环冷却水</w:t>
            </w:r>
          </w:p>
          <w:p w14:paraId="68EF294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根据企业提供的资料，本项目循环冷却水量</w:t>
            </w:r>
            <w:r>
              <w:rPr>
                <w:rFonts w:hint="eastAsia" w:cs="Times New Roman"/>
                <w:color w:val="auto"/>
                <w:sz w:val="24"/>
                <w:highlight w:val="none"/>
                <w:lang w:eastAsia="zh-CN"/>
              </w:rPr>
              <w:t>：</w:t>
            </w:r>
            <w:r>
              <w:rPr>
                <w:rFonts w:hint="eastAsia" w:cs="Times New Roman"/>
                <w:color w:val="auto"/>
                <w:sz w:val="24"/>
                <w:highlight w:val="none"/>
                <w:lang w:val="en-US" w:eastAsia="zh-CN"/>
              </w:rPr>
              <w:t>2 t/h×8 h×300 d=4800 t/a，年补充量为0.515 t/a的</w:t>
            </w:r>
            <w:r>
              <w:rPr>
                <w:rFonts w:hint="default" w:ascii="Times New Roman" w:hAnsi="Times New Roman" w:cs="Times New Roman"/>
                <w:color w:val="auto"/>
                <w:sz w:val="24"/>
                <w:highlight w:val="none"/>
              </w:rPr>
              <w:t>纯水</w:t>
            </w:r>
            <w:r>
              <w:rPr>
                <w:rFonts w:hint="eastAsia" w:cs="Times New Roman"/>
                <w:color w:val="auto"/>
                <w:sz w:val="24"/>
                <w:highlight w:val="none"/>
                <w:lang w:eastAsia="zh-CN"/>
              </w:rPr>
              <w:t>，</w:t>
            </w:r>
            <w:r>
              <w:rPr>
                <w:rFonts w:hint="eastAsia" w:cs="Times New Roman"/>
                <w:color w:val="auto"/>
                <w:sz w:val="24"/>
                <w:highlight w:val="none"/>
                <w:lang w:val="en-US" w:eastAsia="zh-CN"/>
              </w:rPr>
              <w:t>不产生排水</w:t>
            </w:r>
            <w:r>
              <w:rPr>
                <w:rFonts w:hint="default" w:ascii="Times New Roman" w:hAnsi="Times New Roman" w:cs="Times New Roman"/>
                <w:color w:val="auto"/>
                <w:sz w:val="24"/>
                <w:highlight w:val="none"/>
              </w:rPr>
              <w:t>。</w:t>
            </w:r>
          </w:p>
          <w:p w14:paraId="0AC3E431">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④</w:t>
            </w:r>
            <w:r>
              <w:rPr>
                <w:rFonts w:hint="default" w:ascii="Times New Roman" w:hAnsi="Times New Roman" w:cs="Times New Roman"/>
                <w:color w:val="auto"/>
                <w:sz w:val="24"/>
                <w:highlight w:val="none"/>
              </w:rPr>
              <w:t>清洗用水</w:t>
            </w:r>
          </w:p>
          <w:p w14:paraId="71C9D248">
            <w:pPr>
              <w:adjustRightInd w:val="0"/>
              <w:snapToGrid w:val="0"/>
              <w:spacing w:line="360" w:lineRule="auto"/>
              <w:ind w:firstLine="480" w:firstLineChars="200"/>
              <w:jc w:val="left"/>
              <w:rPr>
                <w:rFonts w:hint="default" w:ascii="Times New Roman" w:hAnsi="Times New Roman" w:cs="Times New Roman"/>
                <w:color w:val="FF0000"/>
                <w:sz w:val="24"/>
                <w:highlight w:val="none"/>
              </w:rPr>
            </w:pPr>
            <w:r>
              <w:rPr>
                <w:rFonts w:hint="default" w:ascii="Times New Roman" w:hAnsi="Times New Roman" w:cs="Times New Roman"/>
                <w:color w:val="FF0000"/>
                <w:sz w:val="24"/>
                <w:highlight w:val="none"/>
              </w:rPr>
              <w:t>清洗</w:t>
            </w:r>
            <w:r>
              <w:rPr>
                <w:rFonts w:hint="eastAsia" w:cs="Times New Roman"/>
                <w:color w:val="FF0000"/>
                <w:sz w:val="24"/>
                <w:highlight w:val="none"/>
                <w:lang w:val="en-US" w:eastAsia="zh-CN"/>
              </w:rPr>
              <w:t>工艺</w:t>
            </w:r>
            <w:r>
              <w:rPr>
                <w:rFonts w:hint="default" w:ascii="Times New Roman" w:hAnsi="Times New Roman" w:cs="Times New Roman"/>
                <w:color w:val="FF0000"/>
                <w:sz w:val="24"/>
                <w:highlight w:val="none"/>
              </w:rPr>
              <w:t>中要</w:t>
            </w:r>
            <w:r>
              <w:rPr>
                <w:rFonts w:hint="eastAsia" w:cs="Times New Roman"/>
                <w:color w:val="FF0000"/>
                <w:sz w:val="24"/>
                <w:highlight w:val="none"/>
                <w:lang w:val="en-US" w:eastAsia="zh-CN"/>
              </w:rPr>
              <w:t>对玻璃基板清洗</w:t>
            </w:r>
            <w:r>
              <w:rPr>
                <w:rFonts w:hint="default" w:ascii="Times New Roman" w:hAnsi="Times New Roman" w:cs="Times New Roman"/>
                <w:color w:val="FF0000"/>
                <w:sz w:val="24"/>
                <w:highlight w:val="none"/>
              </w:rPr>
              <w:t>，根据提供的资料，</w:t>
            </w:r>
            <w:r>
              <w:rPr>
                <w:rFonts w:hint="eastAsia" w:cs="Times New Roman"/>
                <w:color w:val="FF0000"/>
                <w:sz w:val="24"/>
                <w:highlight w:val="none"/>
                <w:lang w:val="en-US" w:eastAsia="zh-CN"/>
              </w:rPr>
              <w:t>需经清洗线药剂槽清洗和纯水冲洗。清洗线药剂槽清洗时，需</w:t>
            </w:r>
            <w:r>
              <w:rPr>
                <w:rFonts w:hint="default" w:ascii="Times New Roman" w:hAnsi="Times New Roman" w:cs="Times New Roman"/>
                <w:color w:val="FF0000"/>
                <w:sz w:val="24"/>
                <w:highlight w:val="none"/>
              </w:rPr>
              <w:t>使用的清洗剂和纯水的比例为1:50，清洗剂年用量为</w:t>
            </w:r>
            <w:r>
              <w:rPr>
                <w:rFonts w:hint="eastAsia" w:cs="Times New Roman"/>
                <w:color w:val="FF0000"/>
                <w:sz w:val="24"/>
                <w:highlight w:val="none"/>
                <w:lang w:val="en-US" w:eastAsia="zh-CN"/>
              </w:rPr>
              <w:t xml:space="preserve">700 </w:t>
            </w:r>
            <w:r>
              <w:rPr>
                <w:rFonts w:hint="default" w:ascii="Times New Roman" w:hAnsi="Times New Roman" w:cs="Times New Roman"/>
                <w:color w:val="FF0000"/>
                <w:sz w:val="24"/>
                <w:highlight w:val="none"/>
              </w:rPr>
              <w:t>L，则纯水用水量为</w:t>
            </w:r>
            <w:r>
              <w:rPr>
                <w:rFonts w:hint="eastAsia" w:cs="Times New Roman"/>
                <w:color w:val="FF0000"/>
                <w:sz w:val="24"/>
                <w:highlight w:val="none"/>
                <w:lang w:val="en-US" w:eastAsia="zh-CN"/>
              </w:rPr>
              <w:t>35</w:t>
            </w:r>
            <w:r>
              <w:rPr>
                <w:rFonts w:hint="default" w:ascii="Times New Roman" w:hAnsi="Times New Roman" w:cs="Times New Roman"/>
                <w:color w:val="FF0000"/>
                <w:sz w:val="24"/>
                <w:highlight w:val="none"/>
              </w:rPr>
              <w:t xml:space="preserve"> t/a，</w:t>
            </w:r>
            <w:r>
              <w:rPr>
                <w:rFonts w:hint="eastAsia" w:cs="Times New Roman"/>
                <w:color w:val="FF0000"/>
                <w:sz w:val="24"/>
                <w:highlight w:val="none"/>
                <w:lang w:val="en-US" w:eastAsia="zh-CN"/>
              </w:rPr>
              <w:t>产污系数</w:t>
            </w:r>
            <w:r>
              <w:rPr>
                <w:rFonts w:hint="default" w:ascii="Times New Roman" w:hAnsi="Times New Roman" w:cs="Times New Roman"/>
                <w:color w:val="FF0000"/>
                <w:sz w:val="24"/>
                <w:highlight w:val="none"/>
              </w:rPr>
              <w:t>按90%计</w:t>
            </w:r>
            <w:r>
              <w:rPr>
                <w:rFonts w:hint="eastAsia" w:cs="Times New Roman"/>
                <w:color w:val="FF0000"/>
                <w:sz w:val="24"/>
                <w:highlight w:val="none"/>
                <w:lang w:eastAsia="zh-CN"/>
              </w:rPr>
              <w:t>，</w:t>
            </w:r>
            <w:r>
              <w:rPr>
                <w:rFonts w:hint="default" w:ascii="Times New Roman" w:hAnsi="Times New Roman" w:cs="Times New Roman"/>
                <w:color w:val="FF0000"/>
                <w:sz w:val="24"/>
                <w:highlight w:val="none"/>
              </w:rPr>
              <w:t>产生的清洗废液</w:t>
            </w:r>
            <w:r>
              <w:rPr>
                <w:rFonts w:hint="eastAsia" w:cs="Times New Roman"/>
                <w:color w:val="FF0000"/>
                <w:sz w:val="24"/>
                <w:highlight w:val="none"/>
                <w:lang w:val="en-US" w:eastAsia="zh-CN"/>
              </w:rPr>
              <w:t>35.7</w:t>
            </w:r>
            <w:r>
              <w:rPr>
                <w:rFonts w:hint="default" w:ascii="Times New Roman" w:hAnsi="Times New Roman" w:cs="Times New Roman"/>
                <w:color w:val="FF0000"/>
                <w:sz w:val="24"/>
                <w:highlight w:val="none"/>
              </w:rPr>
              <w:t>×90%=</w:t>
            </w:r>
            <w:r>
              <w:rPr>
                <w:rFonts w:hint="eastAsia" w:cs="Times New Roman"/>
                <w:color w:val="FF0000"/>
                <w:sz w:val="24"/>
                <w:highlight w:val="none"/>
                <w:lang w:val="en-US" w:eastAsia="zh-CN"/>
              </w:rPr>
              <w:t>32.13</w:t>
            </w:r>
            <w:r>
              <w:rPr>
                <w:rFonts w:hint="default" w:ascii="Times New Roman" w:hAnsi="Times New Roman" w:cs="Times New Roman"/>
                <w:color w:val="FF0000"/>
                <w:sz w:val="24"/>
                <w:highlight w:val="none"/>
              </w:rPr>
              <w:t xml:space="preserve"> t/a</w:t>
            </w:r>
            <w:r>
              <w:rPr>
                <w:rFonts w:hint="eastAsia" w:cs="Times New Roman"/>
                <w:color w:val="FF0000"/>
                <w:sz w:val="24"/>
                <w:highlight w:val="none"/>
                <w:lang w:eastAsia="zh-CN"/>
              </w:rPr>
              <w:t>，</w:t>
            </w:r>
            <w:r>
              <w:rPr>
                <w:rFonts w:hint="default" w:ascii="Times New Roman" w:hAnsi="Times New Roman" w:cs="Times New Roman"/>
                <w:color w:val="FF0000"/>
                <w:sz w:val="24"/>
                <w:highlight w:val="none"/>
              </w:rPr>
              <w:t>作为危废委托资质单位处理。</w:t>
            </w:r>
          </w:p>
          <w:p w14:paraId="4B72E763">
            <w:pPr>
              <w:adjustRightInd w:val="0"/>
              <w:snapToGrid w:val="0"/>
              <w:spacing w:line="360" w:lineRule="auto"/>
              <w:ind w:firstLine="480" w:firstLineChars="200"/>
              <w:jc w:val="left"/>
              <w:rPr>
                <w:rFonts w:hint="eastAsia" w:ascii="Times New Roman" w:hAnsi="Times New Roman" w:eastAsia="宋体" w:cs="Times New Roman"/>
                <w:color w:val="FF0000"/>
                <w:sz w:val="24"/>
                <w:highlight w:val="none"/>
                <w:lang w:eastAsia="zh-CN"/>
              </w:rPr>
            </w:pPr>
            <w:r>
              <w:rPr>
                <w:rFonts w:hint="eastAsia" w:cs="Times New Roman"/>
                <w:color w:val="FF0000"/>
                <w:sz w:val="24"/>
                <w:highlight w:val="none"/>
                <w:lang w:val="en-US" w:eastAsia="zh-CN"/>
              </w:rPr>
              <w:t>经清洗线药剂槽清洗后再经纯水槽进行纯水冲洗，此过程纯水用量为12000 t/a，产污系数按90%计，则产生的冲洗废水为12000×90%=10800 t/a，可直接外排。</w:t>
            </w:r>
          </w:p>
          <w:p w14:paraId="6A6C85E6">
            <w:pPr>
              <w:adjustRightInd w:val="0"/>
              <w:snapToGrid w:val="0"/>
              <w:spacing w:line="360" w:lineRule="auto"/>
              <w:ind w:firstLine="480" w:firstLineChars="200"/>
              <w:jc w:val="left"/>
              <w:rPr>
                <w:rFonts w:hint="eastAsia" w:cs="Times New Roman"/>
                <w:color w:val="auto"/>
                <w:sz w:val="24"/>
                <w:highlight w:val="none"/>
                <w:lang w:val="en-US" w:eastAsia="zh-CN"/>
              </w:rPr>
            </w:pPr>
            <w:r>
              <w:rPr>
                <w:rFonts w:hint="eastAsia" w:cs="Times New Roman"/>
                <w:color w:val="auto"/>
                <w:sz w:val="24"/>
                <w:highlight w:val="none"/>
                <w:lang w:val="en-US" w:eastAsia="zh-CN"/>
              </w:rPr>
              <w:t>⑤反冲洗项目制备纯水过程过滤系统反冲洗采用自来水冲洗，4次/年，3m</w:t>
            </w:r>
            <w:r>
              <w:rPr>
                <w:rFonts w:hint="eastAsia" w:cs="Times New Roman"/>
                <w:color w:val="auto"/>
                <w:sz w:val="24"/>
                <w:highlight w:val="none"/>
                <w:vertAlign w:val="superscript"/>
                <w:lang w:val="en-US" w:eastAsia="zh-CN"/>
              </w:rPr>
              <w:t>3</w:t>
            </w:r>
            <w:r>
              <w:rPr>
                <w:rFonts w:hint="eastAsia" w:cs="Times New Roman"/>
                <w:color w:val="auto"/>
                <w:sz w:val="24"/>
                <w:highlight w:val="none"/>
                <w:lang w:val="en-US" w:eastAsia="zh-CN"/>
              </w:rPr>
              <w:t>/次，废水产生量按90%计，则反冲洗废水产生量约10.8 m</w:t>
            </w:r>
            <w:r>
              <w:rPr>
                <w:rFonts w:hint="eastAsia" w:cs="Times New Roman"/>
                <w:color w:val="auto"/>
                <w:sz w:val="24"/>
                <w:highlight w:val="none"/>
                <w:vertAlign w:val="superscript"/>
                <w:lang w:val="en-US" w:eastAsia="zh-CN"/>
              </w:rPr>
              <w:t>3</w:t>
            </w:r>
            <w:r>
              <w:rPr>
                <w:rFonts w:hint="eastAsia" w:cs="Times New Roman"/>
                <w:color w:val="auto"/>
                <w:sz w:val="24"/>
                <w:highlight w:val="none"/>
                <w:lang w:val="en-US" w:eastAsia="zh-CN"/>
              </w:rPr>
              <w:t>/a。</w:t>
            </w:r>
          </w:p>
          <w:p w14:paraId="0AC81261">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⑥</w:t>
            </w:r>
            <w:r>
              <w:rPr>
                <w:rFonts w:hint="default" w:ascii="Times New Roman" w:hAnsi="Times New Roman" w:cs="Times New Roman"/>
                <w:color w:val="auto"/>
                <w:sz w:val="24"/>
                <w:highlight w:val="none"/>
              </w:rPr>
              <w:t>纯水制备用水</w:t>
            </w:r>
          </w:p>
          <w:p w14:paraId="022832F5">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本项目生产线需用纯水，纯水制备工艺采用“多介质过滤器+活性炭过滤+中间水箱+保安过滤器+反渗透”，纯水机在纯水制备过程中制备效率为60%，根据企业提供的资料，工艺流程（含</w:t>
            </w:r>
            <w:r>
              <w:rPr>
                <w:rFonts w:hint="eastAsia" w:cs="Times New Roman"/>
                <w:color w:val="auto"/>
                <w:sz w:val="24"/>
                <w:highlight w:val="none"/>
                <w:lang w:val="en-US" w:eastAsia="zh-CN"/>
              </w:rPr>
              <w:t>清洗剂配比用水35</w:t>
            </w:r>
            <w:r>
              <w:rPr>
                <w:rFonts w:hint="default" w:ascii="Times New Roman" w:hAnsi="Times New Roman" w:cs="Times New Roman"/>
                <w:color w:val="auto"/>
                <w:sz w:val="24"/>
                <w:highlight w:val="none"/>
              </w:rPr>
              <w:t xml:space="preserve"> t/a</w:t>
            </w:r>
            <w:r>
              <w:rPr>
                <w:rFonts w:hint="eastAsia" w:cs="Times New Roman"/>
                <w:color w:val="auto"/>
                <w:sz w:val="24"/>
                <w:highlight w:val="none"/>
                <w:lang w:eastAsia="zh-CN"/>
              </w:rPr>
              <w:t>、</w:t>
            </w:r>
            <w:r>
              <w:rPr>
                <w:rFonts w:hint="eastAsia" w:cs="Times New Roman"/>
                <w:color w:val="auto"/>
                <w:sz w:val="24"/>
                <w:highlight w:val="none"/>
                <w:lang w:val="en-US" w:eastAsia="zh-CN"/>
              </w:rPr>
              <w:t xml:space="preserve">冲洗用水12000 </w:t>
            </w:r>
            <w:r>
              <w:rPr>
                <w:rFonts w:hint="default" w:ascii="Times New Roman" w:hAnsi="Times New Roman" w:cs="Times New Roman"/>
                <w:color w:val="auto"/>
                <w:sz w:val="24"/>
                <w:highlight w:val="none"/>
              </w:rPr>
              <w:t>t/a</w:t>
            </w:r>
            <w:r>
              <w:rPr>
                <w:rFonts w:hint="default" w:ascii="Times New Roman" w:hAnsi="Times New Roman" w:cs="Times New Roman"/>
                <w:color w:val="auto"/>
                <w:sz w:val="24"/>
                <w:highlight w:val="none"/>
                <w:lang w:val="en-US" w:eastAsia="zh-CN"/>
              </w:rPr>
              <w:t>和循环冷却水0.515 t/a</w:t>
            </w:r>
            <w:r>
              <w:rPr>
                <w:rFonts w:hint="default" w:ascii="Times New Roman" w:hAnsi="Times New Roman" w:cs="Times New Roman"/>
                <w:color w:val="auto"/>
                <w:sz w:val="24"/>
                <w:highlight w:val="none"/>
              </w:rPr>
              <w:t>）中需要用到</w:t>
            </w:r>
            <w:r>
              <w:rPr>
                <w:rFonts w:hint="eastAsia" w:cs="Times New Roman"/>
                <w:color w:val="auto"/>
                <w:sz w:val="24"/>
                <w:highlight w:val="none"/>
                <w:lang w:val="en-US" w:eastAsia="zh-CN"/>
              </w:rPr>
              <w:t xml:space="preserve">12035.515 </w:t>
            </w:r>
            <w:r>
              <w:rPr>
                <w:rFonts w:hint="default" w:ascii="Times New Roman" w:hAnsi="Times New Roman" w:cs="Times New Roman"/>
                <w:color w:val="auto"/>
                <w:sz w:val="24"/>
                <w:highlight w:val="none"/>
              </w:rPr>
              <w:t>t纯水，则用到的自来水为26.</w:t>
            </w:r>
            <w:r>
              <w:rPr>
                <w:rFonts w:hint="default" w:ascii="Times New Roman" w:hAnsi="Times New Roman" w:cs="Times New Roman"/>
                <w:color w:val="auto"/>
                <w:sz w:val="24"/>
                <w:highlight w:val="none"/>
                <w:lang w:val="en-US" w:eastAsia="zh-CN"/>
              </w:rPr>
              <w:t>64</w:t>
            </w:r>
            <w:r>
              <w:rPr>
                <w:rFonts w:hint="default" w:ascii="Times New Roman" w:hAnsi="Times New Roman" w:cs="Times New Roman"/>
                <w:color w:val="auto"/>
                <w:sz w:val="24"/>
                <w:highlight w:val="none"/>
              </w:rPr>
              <w:t>÷60%=</w:t>
            </w:r>
            <w:r>
              <w:rPr>
                <w:rFonts w:hint="eastAsia" w:cs="Times New Roman"/>
                <w:color w:val="auto"/>
                <w:sz w:val="24"/>
                <w:highlight w:val="none"/>
                <w:lang w:val="en-US" w:eastAsia="zh-CN"/>
              </w:rPr>
              <w:t>20059.192</w:t>
            </w:r>
            <w:r>
              <w:rPr>
                <w:rFonts w:hint="default" w:ascii="Times New Roman" w:hAnsi="Times New Roman" w:cs="Times New Roman"/>
                <w:color w:val="auto"/>
                <w:sz w:val="24"/>
                <w:highlight w:val="none"/>
              </w:rPr>
              <w:t xml:space="preserve"> t/a，则纯水制备浓水为</w:t>
            </w:r>
            <w:r>
              <w:rPr>
                <w:rFonts w:hint="eastAsia" w:cs="Times New Roman"/>
                <w:color w:val="auto"/>
                <w:sz w:val="24"/>
                <w:highlight w:val="none"/>
                <w:lang w:val="en-US" w:eastAsia="zh-CN"/>
              </w:rPr>
              <w:t>20059.192</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12035.515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8023.677</w:t>
            </w:r>
            <w:r>
              <w:rPr>
                <w:rFonts w:hint="default" w:ascii="Times New Roman" w:hAnsi="Times New Roman" w:cs="Times New Roman"/>
                <w:color w:val="auto"/>
                <w:sz w:val="24"/>
                <w:highlight w:val="none"/>
              </w:rPr>
              <w:t xml:space="preserve"> t/a，同</w:t>
            </w:r>
            <w:r>
              <w:rPr>
                <w:rFonts w:hint="eastAsia" w:cs="Times New Roman"/>
                <w:color w:val="auto"/>
                <w:sz w:val="24"/>
                <w:highlight w:val="none"/>
                <w:lang w:eastAsia="zh-CN"/>
              </w:rPr>
              <w:t>冲洗废水</w:t>
            </w:r>
            <w:r>
              <w:rPr>
                <w:rFonts w:hint="default" w:ascii="Times New Roman" w:hAnsi="Times New Roman" w:cs="Times New Roman"/>
                <w:color w:val="auto"/>
                <w:sz w:val="24"/>
                <w:highlight w:val="none"/>
              </w:rPr>
              <w:t>一起排入市政管网</w:t>
            </w:r>
            <w:r>
              <w:rPr>
                <w:rFonts w:hint="eastAsia" w:cs="Times New Roman"/>
                <w:color w:val="auto"/>
                <w:sz w:val="24"/>
                <w:highlight w:val="none"/>
                <w:lang w:eastAsia="zh-CN"/>
              </w:rPr>
              <w:t>。</w:t>
            </w:r>
          </w:p>
          <w:p w14:paraId="47AAC141">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综上本项目水平衡见下图</w:t>
            </w:r>
          </w:p>
          <w:p w14:paraId="4F7F5EC0">
            <w:pPr>
              <w:pStyle w:val="2"/>
              <w:rPr>
                <w:rFonts w:hint="default"/>
              </w:rPr>
            </w:pPr>
          </w:p>
          <w:p w14:paraId="5C591E6B">
            <w:pPr>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略</w:t>
            </w:r>
          </w:p>
          <w:p w14:paraId="450994CA">
            <w:pPr>
              <w:pStyle w:val="2"/>
              <w:rPr>
                <w:rFonts w:hint="eastAsia"/>
                <w:lang w:val="en-US" w:eastAsia="zh-CN"/>
              </w:rPr>
            </w:pPr>
          </w:p>
          <w:p w14:paraId="7FB39B7C">
            <w:pPr>
              <w:widowControl/>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图2.1  全厂水平衡图（m</w:t>
            </w:r>
            <w:r>
              <w:rPr>
                <w:rFonts w:hint="default" w:ascii="Times New Roman" w:hAnsi="Times New Roman" w:cs="Times New Roman"/>
                <w:b/>
                <w:bCs/>
                <w:color w:val="auto"/>
                <w:sz w:val="24"/>
                <w:highlight w:val="none"/>
                <w:vertAlign w:val="superscript"/>
              </w:rPr>
              <w:t>3</w:t>
            </w:r>
            <w:r>
              <w:rPr>
                <w:rFonts w:hint="default" w:ascii="Times New Roman" w:hAnsi="Times New Roman" w:cs="Times New Roman"/>
                <w:b/>
                <w:bCs/>
                <w:color w:val="auto"/>
                <w:sz w:val="24"/>
                <w:highlight w:val="none"/>
              </w:rPr>
              <w:t>/a）</w:t>
            </w:r>
          </w:p>
          <w:p w14:paraId="2E28414B">
            <w:pPr>
              <w:adjustRightInd w:val="0"/>
              <w:snapToGrid w:val="0"/>
              <w:spacing w:line="360" w:lineRule="auto"/>
              <w:ind w:firstLine="482" w:firstLineChars="200"/>
              <w:jc w:val="left"/>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11</w:t>
            </w:r>
            <w:r>
              <w:rPr>
                <w:rFonts w:hint="default" w:ascii="Times New Roman" w:hAnsi="Times New Roman" w:cs="Times New Roman"/>
                <w:b/>
                <w:bCs/>
                <w:color w:val="auto"/>
                <w:sz w:val="24"/>
                <w:highlight w:val="none"/>
              </w:rPr>
              <w:t>、</w:t>
            </w:r>
            <w:r>
              <w:rPr>
                <w:rFonts w:hint="eastAsia" w:cs="Times New Roman"/>
                <w:b/>
                <w:bCs/>
                <w:color w:val="auto"/>
                <w:sz w:val="24"/>
                <w:highlight w:val="none"/>
                <w:lang w:val="en-US" w:eastAsia="zh-CN"/>
              </w:rPr>
              <w:t>铅平衡</w:t>
            </w:r>
          </w:p>
          <w:p w14:paraId="3A98CFBA">
            <w:pPr>
              <w:widowControl/>
              <w:jc w:val="center"/>
              <w:rPr>
                <w:rFonts w:hint="eastAsia" w:cs="Times New Roman"/>
                <w:b w:val="0"/>
                <w:bCs/>
                <w:color w:val="auto"/>
                <w:sz w:val="24"/>
                <w:highlight w:val="none"/>
                <w:lang w:val="en-US" w:eastAsia="zh-CN"/>
              </w:rPr>
            </w:pPr>
            <w:r>
              <w:rPr>
                <w:rFonts w:hint="eastAsia" w:cs="Times New Roman"/>
                <w:b w:val="0"/>
                <w:bCs/>
                <w:color w:val="auto"/>
                <w:sz w:val="24"/>
                <w:highlight w:val="none"/>
                <w:lang w:val="en-US" w:eastAsia="zh-CN"/>
              </w:rPr>
              <w:t>略</w:t>
            </w:r>
          </w:p>
          <w:p w14:paraId="7BB2C4F0">
            <w:pPr>
              <w:pStyle w:val="2"/>
              <w:rPr>
                <w:rFonts w:hint="eastAsia"/>
                <w:lang w:val="en-US" w:eastAsia="zh-CN"/>
              </w:rPr>
            </w:pPr>
          </w:p>
          <w:p w14:paraId="320958A4">
            <w:pPr>
              <w:widowControl/>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图2.</w:t>
            </w:r>
            <w:r>
              <w:rPr>
                <w:rFonts w:hint="eastAsia" w:cs="Times New Roman"/>
                <w:b/>
                <w:bCs/>
                <w:color w:val="auto"/>
                <w:sz w:val="24"/>
                <w:highlight w:val="none"/>
                <w:lang w:val="en-US" w:eastAsia="zh-CN"/>
              </w:rPr>
              <w:t>2</w:t>
            </w:r>
            <w:r>
              <w:rPr>
                <w:rFonts w:hint="default" w:ascii="Times New Roman" w:hAnsi="Times New Roman" w:cs="Times New Roman"/>
                <w:b/>
                <w:bCs/>
                <w:color w:val="auto"/>
                <w:sz w:val="24"/>
                <w:highlight w:val="none"/>
              </w:rPr>
              <w:t xml:space="preserve">  </w:t>
            </w:r>
            <w:r>
              <w:rPr>
                <w:rFonts w:hint="eastAsia" w:cs="Times New Roman"/>
                <w:b/>
                <w:bCs/>
                <w:color w:val="auto"/>
                <w:sz w:val="24"/>
                <w:highlight w:val="none"/>
                <w:lang w:val="en-US" w:eastAsia="zh-CN"/>
              </w:rPr>
              <w:t>铅平衡</w:t>
            </w:r>
            <w:r>
              <w:rPr>
                <w:rFonts w:hint="default" w:ascii="Times New Roman" w:hAnsi="Times New Roman" w:cs="Times New Roman"/>
                <w:b/>
                <w:bCs/>
                <w:color w:val="auto"/>
                <w:sz w:val="24"/>
                <w:highlight w:val="none"/>
              </w:rPr>
              <w:t>图</w:t>
            </w:r>
          </w:p>
          <w:p w14:paraId="503EE4E6">
            <w:pPr>
              <w:adjustRightInd w:val="0"/>
              <w:snapToGrid w:val="0"/>
              <w:spacing w:line="360" w:lineRule="auto"/>
              <w:ind w:firstLine="482" w:firstLineChars="200"/>
              <w:jc w:val="left"/>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12</w:t>
            </w:r>
            <w:r>
              <w:rPr>
                <w:rFonts w:hint="default" w:ascii="Times New Roman" w:hAnsi="Times New Roman" w:cs="Times New Roman"/>
                <w:b/>
                <w:bCs/>
                <w:color w:val="auto"/>
                <w:sz w:val="24"/>
                <w:highlight w:val="none"/>
              </w:rPr>
              <w:t>、</w:t>
            </w:r>
            <w:r>
              <w:rPr>
                <w:rFonts w:hint="eastAsia" w:cs="Times New Roman"/>
                <w:b/>
                <w:bCs/>
                <w:color w:val="auto"/>
                <w:sz w:val="24"/>
                <w:highlight w:val="none"/>
                <w:lang w:val="en-US" w:eastAsia="zh-CN"/>
              </w:rPr>
              <w:t>镍平衡</w:t>
            </w:r>
          </w:p>
          <w:p w14:paraId="013A0482">
            <w:pPr>
              <w:adjustRightInd w:val="0"/>
              <w:snapToGrid w:val="0"/>
              <w:spacing w:line="360" w:lineRule="auto"/>
              <w:ind w:firstLine="480" w:firstLineChars="200"/>
              <w:jc w:val="center"/>
              <w:rPr>
                <w:rFonts w:hint="eastAsia" w:cs="Times New Roman"/>
                <w:b w:val="0"/>
                <w:bCs/>
                <w:color w:val="auto"/>
                <w:sz w:val="24"/>
                <w:highlight w:val="none"/>
                <w:lang w:val="en-US" w:eastAsia="zh-CN"/>
              </w:rPr>
            </w:pPr>
            <w:r>
              <w:rPr>
                <w:rFonts w:hint="eastAsia" w:cs="Times New Roman"/>
                <w:b w:val="0"/>
                <w:bCs/>
                <w:color w:val="auto"/>
                <w:sz w:val="24"/>
                <w:highlight w:val="none"/>
                <w:lang w:val="en-US" w:eastAsia="zh-CN"/>
              </w:rPr>
              <w:t>略</w:t>
            </w:r>
          </w:p>
          <w:p w14:paraId="35B2F3E3">
            <w:pPr>
              <w:pStyle w:val="2"/>
              <w:rPr>
                <w:rFonts w:hint="eastAsia"/>
                <w:lang w:val="en-US" w:eastAsia="zh-CN"/>
              </w:rPr>
            </w:pPr>
          </w:p>
          <w:p w14:paraId="7903B035">
            <w:pPr>
              <w:widowControl/>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图2.</w:t>
            </w:r>
            <w:r>
              <w:rPr>
                <w:rFonts w:hint="eastAsia" w:cs="Times New Roman"/>
                <w:b/>
                <w:bCs/>
                <w:color w:val="auto"/>
                <w:sz w:val="24"/>
                <w:highlight w:val="none"/>
                <w:lang w:val="en-US" w:eastAsia="zh-CN"/>
              </w:rPr>
              <w:t xml:space="preserve">3 </w:t>
            </w:r>
            <w:r>
              <w:rPr>
                <w:rFonts w:hint="default" w:ascii="Times New Roman" w:hAnsi="Times New Roman" w:cs="Times New Roman"/>
                <w:b/>
                <w:bCs/>
                <w:color w:val="auto"/>
                <w:sz w:val="24"/>
                <w:highlight w:val="none"/>
              </w:rPr>
              <w:t xml:space="preserve"> </w:t>
            </w:r>
            <w:r>
              <w:rPr>
                <w:rFonts w:hint="eastAsia" w:cs="Times New Roman"/>
                <w:b/>
                <w:bCs/>
                <w:color w:val="auto"/>
                <w:sz w:val="24"/>
                <w:highlight w:val="none"/>
                <w:lang w:val="en-US" w:eastAsia="zh-CN"/>
              </w:rPr>
              <w:t>镍</w:t>
            </w:r>
            <w:r>
              <w:rPr>
                <w:rFonts w:hint="default" w:ascii="Times New Roman" w:hAnsi="Times New Roman" w:cs="Times New Roman"/>
                <w:b/>
                <w:bCs/>
                <w:color w:val="auto"/>
                <w:sz w:val="24"/>
                <w:highlight w:val="none"/>
              </w:rPr>
              <w:t>平衡图</w:t>
            </w:r>
          </w:p>
          <w:p w14:paraId="3BD1B90C">
            <w:pPr>
              <w:adjustRightInd w:val="0"/>
              <w:snapToGrid w:val="0"/>
              <w:spacing w:line="360" w:lineRule="auto"/>
              <w:ind w:firstLine="482" w:firstLineChars="200"/>
              <w:jc w:val="left"/>
              <w:rPr>
                <w:rFonts w:hint="eastAsia" w:cs="Times New Roman"/>
                <w:b/>
                <w:bCs/>
                <w:color w:val="auto"/>
                <w:sz w:val="24"/>
                <w:highlight w:val="none"/>
                <w:lang w:val="en-US" w:eastAsia="zh-CN"/>
              </w:rPr>
            </w:pPr>
            <w:r>
              <w:rPr>
                <w:rFonts w:hint="default" w:ascii="Times New Roman" w:hAnsi="Times New Roman" w:cs="Times New Roman"/>
                <w:b/>
                <w:bCs/>
                <w:color w:val="auto"/>
                <w:sz w:val="24"/>
                <w:highlight w:val="none"/>
              </w:rPr>
              <w:t>1</w:t>
            </w:r>
            <w:r>
              <w:rPr>
                <w:rFonts w:hint="eastAsia" w:cs="Times New Roman"/>
                <w:b/>
                <w:bCs/>
                <w:color w:val="auto"/>
                <w:sz w:val="24"/>
                <w:highlight w:val="none"/>
                <w:lang w:val="en-US" w:eastAsia="zh-CN"/>
              </w:rPr>
              <w:t>3</w:t>
            </w:r>
            <w:r>
              <w:rPr>
                <w:rFonts w:hint="default" w:ascii="Times New Roman" w:hAnsi="Times New Roman" w:cs="Times New Roman"/>
                <w:b/>
                <w:bCs/>
                <w:color w:val="auto"/>
                <w:sz w:val="24"/>
                <w:highlight w:val="none"/>
              </w:rPr>
              <w:t>、</w:t>
            </w:r>
            <w:r>
              <w:rPr>
                <w:rFonts w:hint="eastAsia" w:cs="Times New Roman"/>
                <w:b/>
                <w:bCs/>
                <w:color w:val="auto"/>
                <w:sz w:val="24"/>
                <w:highlight w:val="none"/>
                <w:lang w:val="en-US" w:eastAsia="zh-CN"/>
              </w:rPr>
              <w:t>挥发性有机物平衡</w:t>
            </w:r>
          </w:p>
          <w:p w14:paraId="4CB7CCBB">
            <w:pPr>
              <w:adjustRightInd w:val="0"/>
              <w:snapToGrid w:val="0"/>
              <w:spacing w:line="360" w:lineRule="auto"/>
              <w:ind w:firstLine="480" w:firstLineChars="200"/>
              <w:jc w:val="center"/>
              <w:rPr>
                <w:rFonts w:hint="eastAsia" w:ascii="Times New Roman" w:hAnsi="Times New Roman" w:eastAsia="宋体" w:cs="Times New Roman"/>
                <w:b w:val="0"/>
                <w:bCs/>
                <w:color w:val="auto"/>
                <w:sz w:val="24"/>
                <w:highlight w:val="none"/>
                <w:lang w:val="en-US" w:eastAsia="zh-CN"/>
              </w:rPr>
            </w:pPr>
            <w:r>
              <w:rPr>
                <w:rFonts w:hint="eastAsia" w:cs="Times New Roman"/>
                <w:b w:val="0"/>
                <w:bCs/>
                <w:color w:val="auto"/>
                <w:sz w:val="24"/>
                <w:highlight w:val="none"/>
                <w:lang w:val="en-US" w:eastAsia="zh-CN"/>
              </w:rPr>
              <w:t>略</w:t>
            </w:r>
          </w:p>
          <w:p w14:paraId="056B91BD">
            <w:pPr>
              <w:widowControl/>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图2.</w:t>
            </w:r>
            <w:r>
              <w:rPr>
                <w:rFonts w:hint="eastAsia" w:cs="Times New Roman"/>
                <w:b/>
                <w:bCs/>
                <w:color w:val="auto"/>
                <w:sz w:val="24"/>
                <w:highlight w:val="none"/>
                <w:lang w:val="en-US" w:eastAsia="zh-CN"/>
              </w:rPr>
              <w:t xml:space="preserve">4 </w:t>
            </w:r>
            <w:r>
              <w:rPr>
                <w:rFonts w:hint="default" w:ascii="Times New Roman" w:hAnsi="Times New Roman" w:cs="Times New Roman"/>
                <w:b/>
                <w:bCs/>
                <w:color w:val="auto"/>
                <w:sz w:val="24"/>
                <w:highlight w:val="none"/>
              </w:rPr>
              <w:t xml:space="preserve"> </w:t>
            </w:r>
            <w:r>
              <w:rPr>
                <w:rFonts w:hint="eastAsia" w:cs="Times New Roman"/>
                <w:b/>
                <w:bCs/>
                <w:color w:val="auto"/>
                <w:sz w:val="24"/>
                <w:highlight w:val="none"/>
                <w:lang w:val="en-US" w:eastAsia="zh-CN"/>
              </w:rPr>
              <w:t>挥发性有机物</w:t>
            </w:r>
            <w:r>
              <w:rPr>
                <w:rFonts w:hint="default" w:ascii="Times New Roman" w:hAnsi="Times New Roman" w:cs="Times New Roman"/>
                <w:b/>
                <w:bCs/>
                <w:color w:val="auto"/>
                <w:sz w:val="24"/>
                <w:highlight w:val="none"/>
              </w:rPr>
              <w:t>平衡图</w:t>
            </w:r>
          </w:p>
          <w:p w14:paraId="335C9B32">
            <w:pPr>
              <w:adjustRightInd w:val="0"/>
              <w:snapToGrid w:val="0"/>
              <w:spacing w:line="360" w:lineRule="auto"/>
              <w:ind w:firstLine="482" w:firstLineChars="200"/>
              <w:jc w:val="left"/>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14、物料平衡</w:t>
            </w:r>
          </w:p>
          <w:p w14:paraId="293391A9">
            <w:pPr>
              <w:widowControl/>
              <w:jc w:val="center"/>
              <w:rPr>
                <w:rFonts w:hint="eastAsia" w:ascii="Times New Roman" w:hAnsi="Times New Roman" w:cs="Times New Roman"/>
                <w:b/>
                <w:bCs/>
                <w:color w:val="auto"/>
                <w:sz w:val="24"/>
                <w:highlight w:val="none"/>
                <w:lang w:val="en-US"/>
              </w:rPr>
            </w:pPr>
            <w:r>
              <w:rPr>
                <w:rFonts w:hint="eastAsia" w:ascii="Times New Roman" w:hAnsi="Times New Roman" w:cs="Times New Roman"/>
                <w:b/>
                <w:bCs/>
                <w:color w:val="auto"/>
                <w:sz w:val="24"/>
                <w:highlight w:val="none"/>
                <w:lang w:val="en-US"/>
              </w:rPr>
              <w:t>表2</w:t>
            </w:r>
            <w:r>
              <w:rPr>
                <w:rFonts w:hint="eastAsia" w:ascii="Times New Roman" w:hAnsi="Times New Roman" w:cs="Times New Roman"/>
                <w:b/>
                <w:bCs/>
                <w:color w:val="auto"/>
                <w:sz w:val="24"/>
                <w:highlight w:val="none"/>
                <w:lang w:val="en-US" w:eastAsia="zh-CN"/>
              </w:rPr>
              <w:t>.6</w:t>
            </w:r>
            <w:r>
              <w:rPr>
                <w:rFonts w:hint="eastAsia" w:ascii="Times New Roman" w:hAnsi="Times New Roman" w:cs="Times New Roman"/>
                <w:b/>
                <w:bCs/>
                <w:color w:val="auto"/>
                <w:sz w:val="24"/>
                <w:highlight w:val="none"/>
                <w:lang w:val="en-US"/>
              </w:rPr>
              <w:t xml:space="preserve"> </w:t>
            </w:r>
            <w:r>
              <w:rPr>
                <w:rFonts w:hint="eastAsia" w:cs="Times New Roman"/>
                <w:b/>
                <w:bCs/>
                <w:color w:val="auto"/>
                <w:sz w:val="24"/>
                <w:highlight w:val="none"/>
                <w:lang w:val="en-US" w:eastAsia="zh-CN"/>
              </w:rPr>
              <w:t xml:space="preserve"> </w:t>
            </w:r>
            <w:r>
              <w:rPr>
                <w:rFonts w:hint="eastAsia" w:ascii="Times New Roman" w:hAnsi="Times New Roman" w:cs="Times New Roman"/>
                <w:b/>
                <w:bCs/>
                <w:color w:val="auto"/>
                <w:sz w:val="24"/>
                <w:highlight w:val="none"/>
                <w:lang w:val="en-US"/>
              </w:rPr>
              <w:t>物料平衡表</w:t>
            </w:r>
          </w:p>
          <w:tbl>
            <w:tblPr>
              <w:tblStyle w:val="13"/>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706"/>
              <w:gridCol w:w="1400"/>
              <w:gridCol w:w="2834"/>
              <w:gridCol w:w="1280"/>
            </w:tblGrid>
            <w:tr w14:paraId="0BF98E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706" w:type="dxa"/>
                  <w:tcBorders>
                    <w:tl2br w:val="nil"/>
                    <w:tr2bl w:val="nil"/>
                  </w:tcBorders>
                  <w:shd w:val="clear" w:color="auto" w:fill="auto"/>
                  <w:noWrap/>
                  <w:vAlign w:val="center"/>
                </w:tcPr>
                <w:p w14:paraId="5043F7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入方</w:t>
                  </w:r>
                </w:p>
              </w:tc>
              <w:tc>
                <w:tcPr>
                  <w:tcW w:w="1400" w:type="dxa"/>
                  <w:tcBorders>
                    <w:tl2br w:val="nil"/>
                    <w:tr2bl w:val="nil"/>
                  </w:tcBorders>
                  <w:shd w:val="clear" w:color="auto" w:fill="auto"/>
                  <w:noWrap/>
                  <w:vAlign w:val="center"/>
                </w:tcPr>
                <w:p w14:paraId="2EDD7B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年用量</w:t>
                  </w:r>
                  <w:r>
                    <w:rPr>
                      <w:rFonts w:hint="eastAsia" w:ascii="Times New Roman" w:hAnsi="Times New Roman" w:cs="Times New Roman"/>
                      <w:color w:val="auto"/>
                      <w:sz w:val="21"/>
                      <w:szCs w:val="21"/>
                      <w:lang w:val="en-US" w:eastAsia="zh-CN"/>
                    </w:rPr>
                    <w:t>（g）</w:t>
                  </w:r>
                </w:p>
              </w:tc>
              <w:tc>
                <w:tcPr>
                  <w:tcW w:w="2834" w:type="dxa"/>
                  <w:tcBorders>
                    <w:tl2br w:val="nil"/>
                    <w:tr2bl w:val="nil"/>
                  </w:tcBorders>
                  <w:shd w:val="clear" w:color="auto" w:fill="auto"/>
                  <w:noWrap/>
                  <w:vAlign w:val="center"/>
                </w:tcPr>
                <w:p w14:paraId="3FD5CF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出方</w:t>
                  </w:r>
                </w:p>
              </w:tc>
              <w:tc>
                <w:tcPr>
                  <w:tcW w:w="1280" w:type="dxa"/>
                  <w:tcBorders>
                    <w:tl2br w:val="nil"/>
                    <w:tr2bl w:val="nil"/>
                  </w:tcBorders>
                  <w:shd w:val="clear" w:color="auto" w:fill="auto"/>
                  <w:noWrap/>
                  <w:vAlign w:val="center"/>
                </w:tcPr>
                <w:p w14:paraId="351802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产量</w:t>
                  </w:r>
                  <w:r>
                    <w:rPr>
                      <w:rFonts w:hint="eastAsia" w:ascii="Times New Roman" w:hAnsi="Times New Roman" w:cs="Times New Roman"/>
                      <w:color w:val="auto"/>
                      <w:sz w:val="21"/>
                      <w:szCs w:val="21"/>
                      <w:lang w:val="en-US" w:eastAsia="zh-CN"/>
                    </w:rPr>
                    <w:t>（g）</w:t>
                  </w:r>
                </w:p>
              </w:tc>
            </w:tr>
            <w:tr w14:paraId="0B4E13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2706" w:type="dxa"/>
                  <w:vMerge w:val="restart"/>
                  <w:tcBorders>
                    <w:tl2br w:val="nil"/>
                    <w:tr2bl w:val="nil"/>
                  </w:tcBorders>
                  <w:shd w:val="clear" w:color="auto" w:fill="auto"/>
                  <w:vAlign w:val="center"/>
                </w:tcPr>
                <w:p w14:paraId="3A09EC1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4"/>
                      <w:szCs w:val="24"/>
                      <w:highlight w:val="none"/>
                      <w:lang w:val="en-US" w:eastAsia="zh-CN"/>
                    </w:rPr>
                    <w:t>***</w:t>
                  </w:r>
                </w:p>
              </w:tc>
              <w:tc>
                <w:tcPr>
                  <w:tcW w:w="1400" w:type="dxa"/>
                  <w:vMerge w:val="restart"/>
                  <w:tcBorders>
                    <w:tl2br w:val="nil"/>
                    <w:tr2bl w:val="nil"/>
                  </w:tcBorders>
                  <w:shd w:val="clear" w:color="auto" w:fill="auto"/>
                  <w:noWrap/>
                  <w:vAlign w:val="center"/>
                </w:tcPr>
                <w:p w14:paraId="776D18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4"/>
                      <w:szCs w:val="24"/>
                      <w:highlight w:val="none"/>
                      <w:lang w:val="en-US" w:eastAsia="zh-CN"/>
                    </w:rPr>
                    <w:t>***</w:t>
                  </w:r>
                </w:p>
              </w:tc>
              <w:tc>
                <w:tcPr>
                  <w:tcW w:w="2834" w:type="dxa"/>
                  <w:tcBorders>
                    <w:tl2br w:val="nil"/>
                    <w:tr2bl w:val="nil"/>
                  </w:tcBorders>
                  <w:shd w:val="clear" w:color="auto" w:fill="auto"/>
                  <w:noWrap/>
                  <w:vAlign w:val="center"/>
                </w:tcPr>
                <w:p w14:paraId="4F0176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4"/>
                      <w:szCs w:val="24"/>
                      <w:highlight w:val="none"/>
                      <w:lang w:val="en-US" w:eastAsia="zh-CN"/>
                    </w:rPr>
                    <w:t>***</w:t>
                  </w:r>
                </w:p>
              </w:tc>
              <w:tc>
                <w:tcPr>
                  <w:tcW w:w="1280" w:type="dxa"/>
                  <w:tcBorders>
                    <w:tl2br w:val="nil"/>
                    <w:tr2bl w:val="nil"/>
                  </w:tcBorders>
                  <w:shd w:val="clear" w:color="auto" w:fill="auto"/>
                  <w:noWrap/>
                  <w:vAlign w:val="center"/>
                </w:tcPr>
                <w:p w14:paraId="4B357D5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eastAsia" w:cs="Times New Roman"/>
                      <w:color w:val="auto"/>
                      <w:sz w:val="24"/>
                      <w:szCs w:val="24"/>
                      <w:highlight w:val="none"/>
                      <w:lang w:val="en-US" w:eastAsia="zh-CN"/>
                    </w:rPr>
                    <w:t>***</w:t>
                  </w:r>
                </w:p>
              </w:tc>
            </w:tr>
            <w:tr w14:paraId="1A1821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706" w:type="dxa"/>
                  <w:vMerge w:val="continue"/>
                  <w:tcBorders>
                    <w:tl2br w:val="nil"/>
                    <w:tr2bl w:val="nil"/>
                  </w:tcBorders>
                  <w:shd w:val="clear" w:color="auto" w:fill="auto"/>
                  <w:vAlign w:val="center"/>
                </w:tcPr>
                <w:p w14:paraId="4DBD087A">
                  <w:pPr>
                    <w:keepNext w:val="0"/>
                    <w:keepLines w:val="0"/>
                    <w:widowControl/>
                    <w:suppressLineNumbers w:val="0"/>
                    <w:jc w:val="center"/>
                    <w:textAlignment w:val="center"/>
                    <w:rPr>
                      <w:rFonts w:hint="default" w:ascii="Times New Roman" w:hAnsi="Times New Roman" w:eastAsia="宋体" w:cs="Times New Roman"/>
                      <w:color w:val="auto"/>
                      <w:sz w:val="21"/>
                      <w:szCs w:val="21"/>
                    </w:rPr>
                  </w:pPr>
                </w:p>
              </w:tc>
              <w:tc>
                <w:tcPr>
                  <w:tcW w:w="1400" w:type="dxa"/>
                  <w:vMerge w:val="continue"/>
                  <w:tcBorders>
                    <w:tl2br w:val="nil"/>
                    <w:tr2bl w:val="nil"/>
                  </w:tcBorders>
                  <w:shd w:val="clear" w:color="auto" w:fill="auto"/>
                  <w:noWrap/>
                  <w:vAlign w:val="center"/>
                </w:tcPr>
                <w:p w14:paraId="2FA4C8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lang w:val="en-US" w:eastAsia="zh-CN"/>
                    </w:rPr>
                  </w:pPr>
                </w:p>
              </w:tc>
              <w:tc>
                <w:tcPr>
                  <w:tcW w:w="2834" w:type="dxa"/>
                  <w:tcBorders>
                    <w:tl2br w:val="nil"/>
                    <w:tr2bl w:val="nil"/>
                  </w:tcBorders>
                  <w:shd w:val="clear" w:color="auto" w:fill="auto"/>
                  <w:noWrap/>
                  <w:vAlign w:val="center"/>
                </w:tcPr>
                <w:p w14:paraId="5DE5E4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4"/>
                      <w:szCs w:val="24"/>
                      <w:highlight w:val="none"/>
                      <w:lang w:val="en-US" w:eastAsia="zh-CN"/>
                    </w:rPr>
                    <w:t>***</w:t>
                  </w:r>
                </w:p>
              </w:tc>
              <w:tc>
                <w:tcPr>
                  <w:tcW w:w="1280" w:type="dxa"/>
                  <w:tcBorders>
                    <w:tl2br w:val="nil"/>
                    <w:tr2bl w:val="nil"/>
                  </w:tcBorders>
                  <w:shd w:val="clear" w:color="auto" w:fill="auto"/>
                  <w:noWrap/>
                  <w:vAlign w:val="center"/>
                </w:tcPr>
                <w:p w14:paraId="6C27438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4"/>
                      <w:szCs w:val="24"/>
                      <w:highlight w:val="none"/>
                      <w:lang w:val="en-US" w:eastAsia="zh-CN"/>
                    </w:rPr>
                    <w:t>***</w:t>
                  </w:r>
                </w:p>
              </w:tc>
            </w:tr>
            <w:tr w14:paraId="71969A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6" w:type="dxa"/>
                  <w:vMerge w:val="continue"/>
                  <w:tcBorders>
                    <w:tl2br w:val="nil"/>
                    <w:tr2bl w:val="nil"/>
                  </w:tcBorders>
                  <w:shd w:val="clear" w:color="auto" w:fill="auto"/>
                  <w:vAlign w:val="center"/>
                </w:tcPr>
                <w:p w14:paraId="2BB1ED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p>
              </w:tc>
              <w:tc>
                <w:tcPr>
                  <w:tcW w:w="1400" w:type="dxa"/>
                  <w:vMerge w:val="continue"/>
                  <w:tcBorders>
                    <w:tl2br w:val="nil"/>
                    <w:tr2bl w:val="nil"/>
                  </w:tcBorders>
                  <w:shd w:val="clear" w:color="auto" w:fill="auto"/>
                  <w:noWrap/>
                  <w:vAlign w:val="center"/>
                </w:tcPr>
                <w:p w14:paraId="7CC88D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lang w:val="en-US" w:eastAsia="zh-CN"/>
                    </w:rPr>
                  </w:pPr>
                </w:p>
              </w:tc>
              <w:tc>
                <w:tcPr>
                  <w:tcW w:w="2834" w:type="dxa"/>
                  <w:tcBorders>
                    <w:tl2br w:val="nil"/>
                    <w:tr2bl w:val="nil"/>
                  </w:tcBorders>
                  <w:shd w:val="clear" w:color="auto" w:fill="auto"/>
                  <w:noWrap/>
                  <w:vAlign w:val="center"/>
                </w:tcPr>
                <w:p w14:paraId="53F010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4"/>
                      <w:szCs w:val="24"/>
                      <w:highlight w:val="none"/>
                      <w:lang w:val="en-US" w:eastAsia="zh-CN"/>
                    </w:rPr>
                    <w:t>***</w:t>
                  </w:r>
                </w:p>
              </w:tc>
              <w:tc>
                <w:tcPr>
                  <w:tcW w:w="1280" w:type="dxa"/>
                  <w:tcBorders>
                    <w:tl2br w:val="nil"/>
                    <w:tr2bl w:val="nil"/>
                  </w:tcBorders>
                  <w:shd w:val="clear" w:color="auto" w:fill="auto"/>
                  <w:noWrap/>
                  <w:vAlign w:val="center"/>
                </w:tcPr>
                <w:p w14:paraId="4A91A6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4"/>
                      <w:szCs w:val="24"/>
                      <w:highlight w:val="none"/>
                      <w:lang w:val="en-US" w:eastAsia="zh-CN"/>
                    </w:rPr>
                    <w:t>***</w:t>
                  </w:r>
                </w:p>
              </w:tc>
            </w:tr>
            <w:tr w14:paraId="3D3F47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706" w:type="dxa"/>
                  <w:tcBorders>
                    <w:tl2br w:val="nil"/>
                    <w:tr2bl w:val="nil"/>
                  </w:tcBorders>
                  <w:shd w:val="clear" w:color="auto" w:fill="auto"/>
                  <w:noWrap/>
                  <w:vAlign w:val="center"/>
                </w:tcPr>
                <w:p w14:paraId="0855D0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合计</w:t>
                  </w:r>
                </w:p>
              </w:tc>
              <w:tc>
                <w:tcPr>
                  <w:tcW w:w="1400" w:type="dxa"/>
                  <w:tcBorders>
                    <w:tl2br w:val="nil"/>
                    <w:tr2bl w:val="nil"/>
                  </w:tcBorders>
                  <w:shd w:val="clear" w:color="auto" w:fill="auto"/>
                  <w:noWrap/>
                  <w:vAlign w:val="center"/>
                </w:tcPr>
                <w:p w14:paraId="116E713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4"/>
                      <w:szCs w:val="24"/>
                      <w:highlight w:val="none"/>
                      <w:lang w:val="en-US" w:eastAsia="zh-CN"/>
                    </w:rPr>
                    <w:t>***</w:t>
                  </w:r>
                </w:p>
              </w:tc>
              <w:tc>
                <w:tcPr>
                  <w:tcW w:w="2834" w:type="dxa"/>
                  <w:tcBorders>
                    <w:tl2br w:val="nil"/>
                    <w:tr2bl w:val="nil"/>
                  </w:tcBorders>
                  <w:shd w:val="clear" w:color="auto" w:fill="auto"/>
                  <w:noWrap/>
                  <w:vAlign w:val="center"/>
                </w:tcPr>
                <w:p w14:paraId="1FD952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合计</w:t>
                  </w:r>
                </w:p>
              </w:tc>
              <w:tc>
                <w:tcPr>
                  <w:tcW w:w="1280" w:type="dxa"/>
                  <w:tcBorders>
                    <w:tl2br w:val="nil"/>
                    <w:tr2bl w:val="nil"/>
                  </w:tcBorders>
                  <w:shd w:val="clear" w:color="auto" w:fill="auto"/>
                  <w:noWrap/>
                  <w:vAlign w:val="center"/>
                </w:tcPr>
                <w:p w14:paraId="61B37F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4"/>
                      <w:szCs w:val="24"/>
                      <w:highlight w:val="none"/>
                      <w:lang w:val="en-US" w:eastAsia="zh-CN"/>
                    </w:rPr>
                    <w:t>***</w:t>
                  </w:r>
                </w:p>
              </w:tc>
            </w:tr>
          </w:tbl>
          <w:p w14:paraId="79684222">
            <w:pPr>
              <w:adjustRightInd w:val="0"/>
              <w:snapToGrid w:val="0"/>
              <w:spacing w:line="360" w:lineRule="auto"/>
              <w:ind w:firstLine="480" w:firstLineChars="200"/>
              <w:jc w:val="center"/>
              <w:rPr>
                <w:rFonts w:hint="default" w:cs="Times New Roman"/>
                <w:b w:val="0"/>
                <w:bCs/>
                <w:color w:val="auto"/>
                <w:sz w:val="24"/>
                <w:highlight w:val="none"/>
                <w:lang w:val="en-US" w:eastAsia="zh-CN"/>
              </w:rPr>
            </w:pPr>
          </w:p>
        </w:tc>
      </w:tr>
      <w:tr w14:paraId="6484E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07201CE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工艺流程和产排污环节</w:t>
            </w:r>
          </w:p>
        </w:tc>
        <w:tc>
          <w:tcPr>
            <w:tcW w:w="8561" w:type="dxa"/>
          </w:tcPr>
          <w:p w14:paraId="46F20CFF">
            <w:pPr>
              <w:adjustRightInd w:val="0"/>
              <w:snapToGrid w:val="0"/>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bCs/>
                <w:color w:val="auto"/>
                <w:sz w:val="24"/>
                <w:highlight w:val="none"/>
              </w:rPr>
              <w:t>【建设期】</w:t>
            </w:r>
          </w:p>
          <w:p w14:paraId="32495719">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本项目为租赁厂房进行生产，施工期为设备安装，影响较小，可不定量分析。因此生产工艺流程及产污环节仅分析运营期，具体情况如下：</w:t>
            </w:r>
          </w:p>
          <w:p w14:paraId="71B36A39">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【营运期】</w:t>
            </w:r>
          </w:p>
          <w:p w14:paraId="3FA44650">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eastAsia" w:cs="Times New Roman"/>
                <w:b/>
                <w:bCs/>
                <w:color w:val="auto"/>
                <w:sz w:val="24"/>
                <w:highlight w:val="none"/>
                <w:lang w:eastAsia="zh-CN"/>
              </w:rPr>
              <w:t>生产厂房一</w:t>
            </w:r>
            <w:r>
              <w:rPr>
                <w:rFonts w:hint="default" w:ascii="Times New Roman" w:hAnsi="Times New Roman" w:cs="Times New Roman"/>
                <w:b/>
                <w:bCs/>
                <w:color w:val="auto"/>
                <w:sz w:val="24"/>
                <w:highlight w:val="none"/>
              </w:rPr>
              <w:t>主要产品及工艺流程</w:t>
            </w:r>
          </w:p>
          <w:p w14:paraId="59CCD8F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w:t>
            </w:r>
            <w:r>
              <w:rPr>
                <w:rFonts w:hint="eastAsia" w:cs="Times New Roman"/>
                <w:color w:val="auto"/>
                <w:sz w:val="24"/>
                <w:highlight w:val="none"/>
                <w:lang w:eastAsia="zh-CN"/>
              </w:rPr>
              <w:t>生产厂房一</w:t>
            </w:r>
            <w:r>
              <w:rPr>
                <w:rFonts w:hint="default" w:ascii="Times New Roman" w:hAnsi="Times New Roman" w:cs="Times New Roman"/>
                <w:color w:val="auto"/>
                <w:sz w:val="24"/>
                <w:highlight w:val="none"/>
              </w:rPr>
              <w:t>的产品主要为狭缝精密涂布设备、真空干燥设备、热板和精密高温炉及钙钛矿生产整线自动化。</w:t>
            </w:r>
          </w:p>
          <w:p w14:paraId="2EF771FC">
            <w:pPr>
              <w:jc w:val="center"/>
              <w:rPr>
                <w:rFonts w:hint="eastAsia" w:cs="Times New Roman"/>
                <w:color w:val="auto"/>
                <w:sz w:val="24"/>
                <w:highlight w:val="none"/>
                <w:lang w:val="en-US" w:eastAsia="zh-CN"/>
              </w:rPr>
            </w:pPr>
          </w:p>
          <w:p w14:paraId="0CBA27CC">
            <w:pPr>
              <w:jc w:val="center"/>
              <w:rPr>
                <w:rFonts w:hint="eastAsia" w:ascii="Times New Roman" w:hAnsi="Times New Roman" w:eastAsia="宋体" w:cs="Times New Roman"/>
                <w:color w:val="auto"/>
                <w:highlight w:val="none"/>
                <w:lang w:val="en-US" w:eastAsia="zh-CN"/>
              </w:rPr>
            </w:pPr>
            <w:r>
              <w:rPr>
                <w:rFonts w:hint="eastAsia" w:cs="Times New Roman"/>
                <w:color w:val="auto"/>
                <w:sz w:val="24"/>
                <w:highlight w:val="none"/>
                <w:lang w:val="en-US" w:eastAsia="zh-CN"/>
              </w:rPr>
              <w:t>图略</w:t>
            </w:r>
          </w:p>
          <w:p w14:paraId="251B6348">
            <w:pPr>
              <w:widowControl/>
              <w:jc w:val="lef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（2）工艺流程</w:t>
            </w:r>
          </w:p>
          <w:p w14:paraId="7E904AF2">
            <w:pPr>
              <w:pStyle w:val="2"/>
              <w:jc w:val="center"/>
              <w:rPr>
                <w:rFonts w:hint="eastAsia" w:ascii="Times New Roman" w:hAnsi="Times New Roman" w:cs="Times New Roman"/>
                <w:color w:val="auto"/>
                <w:highlight w:val="none"/>
                <w:lang w:val="en-US" w:eastAsia="zh-CN"/>
              </w:rPr>
            </w:pPr>
          </w:p>
          <w:p w14:paraId="62A793DA">
            <w:pPr>
              <w:pStyle w:val="2"/>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略</w:t>
            </w:r>
          </w:p>
          <w:p w14:paraId="58D1036C">
            <w:pPr>
              <w:pStyle w:val="4"/>
              <w:rPr>
                <w:rFonts w:hint="eastAsia"/>
                <w:lang w:val="en-US" w:eastAsia="zh-CN"/>
              </w:rPr>
            </w:pPr>
          </w:p>
          <w:p w14:paraId="1CA4B291">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图2.2  </w:t>
            </w:r>
            <w:r>
              <w:rPr>
                <w:rFonts w:hint="eastAsia" w:cs="Times New Roman"/>
                <w:color w:val="auto"/>
                <w:highlight w:val="none"/>
                <w:lang w:eastAsia="zh-CN"/>
              </w:rPr>
              <w:t>生产厂房一</w:t>
            </w:r>
            <w:r>
              <w:rPr>
                <w:rFonts w:hint="default" w:ascii="Times New Roman" w:hAnsi="Times New Roman" w:cs="Times New Roman"/>
                <w:color w:val="auto"/>
                <w:highlight w:val="none"/>
              </w:rPr>
              <w:t>工艺流程图</w:t>
            </w:r>
          </w:p>
          <w:p w14:paraId="2081E9BF">
            <w:pPr>
              <w:pStyle w:val="30"/>
              <w:spacing w:before="1" w:line="360" w:lineRule="auto"/>
              <w:jc w:val="left"/>
              <w:rPr>
                <w:rFonts w:hint="default" w:ascii="Times New Roman" w:hAnsi="Times New Roman" w:eastAsia="Times New Roman" w:cs="Times New Roman"/>
                <w:color w:val="auto"/>
                <w:sz w:val="24"/>
                <w:highlight w:val="none"/>
                <w:lang w:val="en-US"/>
              </w:rPr>
            </w:pPr>
            <w:r>
              <w:rPr>
                <w:rFonts w:hint="default" w:ascii="Times New Roman" w:hAnsi="Times New Roman" w:eastAsia="Times New Roman" w:cs="Times New Roman"/>
                <w:color w:val="auto"/>
                <w:sz w:val="24"/>
                <w:highlight w:val="none"/>
                <w:lang w:val="en-US"/>
              </w:rPr>
              <w:t>工艺流程简述：</w:t>
            </w:r>
          </w:p>
          <w:p w14:paraId="635896A1">
            <w:pPr>
              <w:widowControl/>
              <w:spacing w:line="360" w:lineRule="auto"/>
              <w:ind w:firstLine="480" w:firstLineChars="200"/>
              <w:jc w:val="left"/>
              <w:rPr>
                <w:rFonts w:hint="default" w:ascii="Times New Roman" w:hAnsi="Times New Roman" w:eastAsia="宋体" w:cs="Times New Roman"/>
                <w:color w:val="FF0000"/>
                <w:kern w:val="0"/>
                <w:sz w:val="24"/>
                <w:highlight w:val="none"/>
                <w:lang w:val="en-US" w:eastAsia="zh-CN" w:bidi="ar"/>
              </w:rPr>
            </w:pPr>
            <w:r>
              <w:rPr>
                <w:rFonts w:hint="default" w:ascii="Times New Roman" w:hAnsi="Times New Roman" w:cs="Times New Roman"/>
                <w:color w:val="auto"/>
                <w:kern w:val="0"/>
                <w:sz w:val="24"/>
                <w:highlight w:val="none"/>
                <w:lang w:bidi="ar"/>
              </w:rPr>
              <w:t>公司</w:t>
            </w:r>
            <w:r>
              <w:rPr>
                <w:rFonts w:hint="eastAsia" w:cs="Times New Roman"/>
                <w:color w:val="auto"/>
                <w:kern w:val="0"/>
                <w:sz w:val="24"/>
                <w:highlight w:val="none"/>
                <w:lang w:eastAsia="zh-CN" w:bidi="ar"/>
              </w:rPr>
              <w:t>生产厂房一</w:t>
            </w:r>
            <w:r>
              <w:rPr>
                <w:rFonts w:hint="default" w:ascii="Times New Roman" w:hAnsi="Times New Roman" w:cs="Times New Roman"/>
                <w:color w:val="auto"/>
                <w:kern w:val="0"/>
                <w:sz w:val="24"/>
                <w:highlight w:val="none"/>
                <w:lang w:bidi="ar"/>
              </w:rPr>
              <w:t>主要进行</w:t>
            </w:r>
            <w:r>
              <w:rPr>
                <w:rFonts w:hint="default" w:ascii="Times New Roman" w:hAnsi="Times New Roman" w:cs="Times New Roman"/>
                <w:color w:val="auto"/>
                <w:sz w:val="24"/>
                <w:highlight w:val="none"/>
              </w:rPr>
              <w:t>狭缝精密涂布设备、真空干燥设备、热板和精密高温炉及钙钛矿生产整线自动化</w:t>
            </w:r>
            <w:r>
              <w:rPr>
                <w:rFonts w:hint="default" w:ascii="Times New Roman" w:hAnsi="Times New Roman" w:cs="Times New Roman"/>
                <w:color w:val="auto"/>
                <w:kern w:val="0"/>
                <w:sz w:val="24"/>
                <w:highlight w:val="none"/>
                <w:lang w:bidi="ar"/>
              </w:rPr>
              <w:t>的安装、制造工作</w:t>
            </w:r>
            <w:r>
              <w:rPr>
                <w:rFonts w:hint="eastAsia" w:cs="Times New Roman"/>
                <w:color w:val="FF0000"/>
                <w:kern w:val="0"/>
                <w:sz w:val="24"/>
                <w:highlight w:val="none"/>
                <w:lang w:val="en-US" w:eastAsia="zh-CN" w:bidi="ar"/>
              </w:rPr>
              <w:t>，以上产品均为人工组装，无补漆、焊接工序，不产生污染物</w:t>
            </w:r>
            <w:r>
              <w:rPr>
                <w:rFonts w:hint="default" w:ascii="Times New Roman" w:hAnsi="Times New Roman" w:cs="Times New Roman"/>
                <w:color w:val="FF0000"/>
                <w:kern w:val="0"/>
                <w:sz w:val="24"/>
                <w:highlight w:val="none"/>
                <w:lang w:bidi="ar"/>
              </w:rPr>
              <w:t>。</w:t>
            </w:r>
          </w:p>
          <w:p w14:paraId="24A5B7FA">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cs="Times New Roman"/>
                <w:color w:val="auto"/>
                <w:kern w:val="0"/>
                <w:sz w:val="24"/>
                <w:highlight w:val="none"/>
                <w:lang w:bidi="ar"/>
              </w:rPr>
              <w:t>（1）按照客户需求进行电脑设计，然后设备各零部件委均外加工或采购：</w:t>
            </w:r>
            <w:r>
              <w:rPr>
                <w:rFonts w:hint="default" w:ascii="Times New Roman" w:hAnsi="Times New Roman" w:cs="Times New Roman"/>
                <w:color w:val="auto"/>
                <w:kern w:val="0"/>
                <w:sz w:val="24"/>
                <w:highlight w:val="none"/>
                <w:lang w:val="en-US" w:eastAsia="zh-CN" w:bidi="ar"/>
              </w:rPr>
              <w:t>采购回来的部件拆卸</w:t>
            </w:r>
            <w:r>
              <w:rPr>
                <w:rFonts w:hint="eastAsia" w:cs="Times New Roman"/>
                <w:color w:val="auto"/>
                <w:kern w:val="0"/>
                <w:sz w:val="24"/>
                <w:highlight w:val="none"/>
                <w:lang w:val="en-US" w:eastAsia="zh-CN" w:bidi="ar"/>
              </w:rPr>
              <w:t>包装</w:t>
            </w:r>
            <w:r>
              <w:rPr>
                <w:rFonts w:hint="default" w:ascii="Times New Roman" w:hAnsi="Times New Roman" w:cs="Times New Roman"/>
                <w:color w:val="auto"/>
                <w:kern w:val="0"/>
                <w:sz w:val="24"/>
                <w:highlight w:val="none"/>
                <w:lang w:val="en-US" w:eastAsia="zh-CN" w:bidi="ar"/>
              </w:rPr>
              <w:t>会产生一般废包装材料S1。</w:t>
            </w:r>
          </w:p>
          <w:p w14:paraId="68B4366C">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cs="Times New Roman"/>
                <w:color w:val="auto"/>
                <w:kern w:val="0"/>
                <w:sz w:val="24"/>
                <w:highlight w:val="none"/>
                <w:lang w:bidi="ar"/>
              </w:rPr>
              <w:t>（2）厂房内进行各零件子模件的组装，完成后再装配到设备上</w:t>
            </w:r>
            <w:r>
              <w:rPr>
                <w:rFonts w:hint="default" w:ascii="Times New Roman" w:hAnsi="Times New Roman" w:cs="Times New Roman"/>
                <w:color w:val="auto"/>
                <w:kern w:val="0"/>
                <w:sz w:val="24"/>
                <w:highlight w:val="none"/>
                <w:lang w:val="en-US" w:eastAsia="zh-CN" w:bidi="ar"/>
              </w:rPr>
              <w:t>。</w:t>
            </w:r>
          </w:p>
          <w:p w14:paraId="150FB736">
            <w:pPr>
              <w:widowControl/>
              <w:spacing w:line="360" w:lineRule="auto"/>
              <w:ind w:firstLine="480" w:firstLineChars="200"/>
              <w:jc w:val="left"/>
              <w:rPr>
                <w:rFonts w:hint="eastAsia" w:ascii="Times New Roman" w:hAnsi="Times New Roman" w:eastAsia="宋体" w:cs="Times New Roman"/>
                <w:color w:val="auto"/>
                <w:kern w:val="0"/>
                <w:sz w:val="24"/>
                <w:highlight w:val="none"/>
                <w:lang w:eastAsia="zh-CN" w:bidi="ar"/>
              </w:rPr>
            </w:pPr>
            <w:r>
              <w:rPr>
                <w:rFonts w:hint="default" w:ascii="Times New Roman" w:hAnsi="Times New Roman" w:cs="Times New Roman"/>
                <w:color w:val="auto"/>
                <w:kern w:val="0"/>
                <w:sz w:val="24"/>
                <w:highlight w:val="none"/>
                <w:lang w:bidi="ar"/>
              </w:rPr>
              <w:t>（3）进行设备的气路、电路的接线</w:t>
            </w:r>
            <w:r>
              <w:rPr>
                <w:rFonts w:hint="eastAsia" w:cs="Times New Roman"/>
                <w:color w:val="auto"/>
                <w:kern w:val="0"/>
                <w:sz w:val="24"/>
                <w:highlight w:val="none"/>
                <w:lang w:eastAsia="zh-CN" w:bidi="ar"/>
              </w:rPr>
              <w:t>。</w:t>
            </w:r>
          </w:p>
          <w:p w14:paraId="769518FC">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（4）安装设备外罩，进行设备调试、包装，完成入库。</w:t>
            </w:r>
          </w:p>
          <w:p w14:paraId="22E245E2">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w:t>
            </w:r>
            <w:r>
              <w:rPr>
                <w:rFonts w:hint="eastAsia" w:cs="Times New Roman"/>
                <w:b/>
                <w:bCs/>
                <w:color w:val="auto"/>
                <w:sz w:val="24"/>
                <w:highlight w:val="none"/>
                <w:lang w:eastAsia="zh-CN"/>
              </w:rPr>
              <w:t>生产厂房二</w:t>
            </w:r>
            <w:r>
              <w:rPr>
                <w:rFonts w:hint="default" w:ascii="Times New Roman" w:hAnsi="Times New Roman" w:cs="Times New Roman"/>
                <w:b/>
                <w:bCs/>
                <w:color w:val="auto"/>
                <w:sz w:val="24"/>
                <w:highlight w:val="none"/>
              </w:rPr>
              <w:t>（钙钛矿研究院）工艺流程</w:t>
            </w:r>
          </w:p>
          <w:p w14:paraId="42FE761D">
            <w:pPr>
              <w:pStyle w:val="28"/>
              <w:jc w:val="center"/>
              <w:rPr>
                <w:rFonts w:hint="default" w:ascii="Times New Roman" w:hAnsi="Times New Roman" w:cs="Times New Roman"/>
                <w:color w:val="auto"/>
                <w:highlight w:val="none"/>
              </w:rPr>
            </w:pPr>
            <w:r>
              <w:rPr>
                <w:rFonts w:hint="eastAsia" w:cs="Times New Roman"/>
                <w:color w:val="auto"/>
                <w:highlight w:val="none"/>
                <w:lang w:val="en-US" w:eastAsia="zh-CN"/>
              </w:rPr>
              <w:t>略</w:t>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t>图2.3  钙钛矿电池研发实验工艺流程图</w:t>
            </w:r>
          </w:p>
          <w:p w14:paraId="4D34308A">
            <w:pPr>
              <w:adjustRightInd w:val="0"/>
              <w:snapToGrid w:val="0"/>
              <w:spacing w:line="360" w:lineRule="auto"/>
              <w:ind w:firstLine="482" w:firstLineChars="200"/>
              <w:jc w:val="center"/>
              <w:rPr>
                <w:rFonts w:hint="eastAsia" w:cs="Times New Roman"/>
                <w:b/>
                <w:bCs/>
                <w:color w:val="auto"/>
                <w:sz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略</w:t>
            </w:r>
          </w:p>
          <w:p w14:paraId="521CA807">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3、产污环节分析</w:t>
            </w:r>
          </w:p>
          <w:p w14:paraId="10A6119A">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（1）废气</w:t>
            </w:r>
          </w:p>
          <w:p w14:paraId="23852CD5">
            <w:pPr>
              <w:adjustRightInd w:val="0"/>
              <w:snapToGrid w:val="0"/>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略</w:t>
            </w:r>
          </w:p>
          <w:p w14:paraId="26819919">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（2）废水</w:t>
            </w:r>
          </w:p>
          <w:p w14:paraId="2F24FCD8">
            <w:pPr>
              <w:adjustRightInd w:val="0"/>
              <w:snapToGrid w:val="0"/>
              <w:spacing w:line="360" w:lineRule="auto"/>
              <w:ind w:firstLine="480" w:firstLineChars="200"/>
              <w:rPr>
                <w:rFonts w:hint="default" w:ascii="Times New Roman" w:hAnsi="Times New Roman" w:cs="Times New Roman"/>
                <w:color w:val="FF0000"/>
                <w:sz w:val="24"/>
                <w:highlight w:val="none"/>
              </w:rPr>
            </w:pPr>
            <w:r>
              <w:rPr>
                <w:rFonts w:hint="default" w:ascii="Times New Roman" w:hAnsi="Times New Roman" w:cs="Times New Roman"/>
                <w:color w:val="FF0000"/>
                <w:sz w:val="24"/>
                <w:highlight w:val="none"/>
              </w:rPr>
              <w:t>本项目产生的废水主要为员工的生活污水</w:t>
            </w:r>
            <w:r>
              <w:rPr>
                <w:rFonts w:hint="eastAsia" w:cs="Times New Roman"/>
                <w:color w:val="FF0000"/>
                <w:sz w:val="24"/>
                <w:highlight w:val="none"/>
                <w:lang w:eastAsia="zh-CN"/>
              </w:rPr>
              <w:t>、</w:t>
            </w:r>
            <w:r>
              <w:rPr>
                <w:rFonts w:hint="eastAsia" w:cs="Times New Roman"/>
                <w:color w:val="FF0000"/>
                <w:sz w:val="24"/>
                <w:highlight w:val="none"/>
                <w:lang w:val="en-US" w:eastAsia="zh-CN"/>
              </w:rPr>
              <w:t>食堂废水、冲洗废水、</w:t>
            </w:r>
            <w:r>
              <w:rPr>
                <w:rFonts w:hint="default" w:ascii="Times New Roman" w:hAnsi="Times New Roman" w:cs="Times New Roman"/>
                <w:color w:val="FF0000"/>
                <w:sz w:val="24"/>
                <w:highlight w:val="none"/>
              </w:rPr>
              <w:t>纯水制备</w:t>
            </w:r>
            <w:r>
              <w:rPr>
                <w:rFonts w:hint="eastAsia" w:cs="Times New Roman"/>
                <w:color w:val="FF0000"/>
                <w:sz w:val="24"/>
                <w:highlight w:val="none"/>
                <w:lang w:val="en-US" w:eastAsia="zh-CN"/>
              </w:rPr>
              <w:t>浓</w:t>
            </w:r>
            <w:r>
              <w:rPr>
                <w:rFonts w:hint="default" w:ascii="Times New Roman" w:hAnsi="Times New Roman" w:cs="Times New Roman"/>
                <w:color w:val="FF0000"/>
                <w:sz w:val="24"/>
                <w:highlight w:val="none"/>
              </w:rPr>
              <w:t>水</w:t>
            </w:r>
            <w:r>
              <w:rPr>
                <w:rFonts w:hint="eastAsia" w:cs="Times New Roman"/>
                <w:color w:val="FF0000"/>
                <w:sz w:val="24"/>
                <w:highlight w:val="none"/>
                <w:lang w:val="en-US" w:eastAsia="zh-CN"/>
              </w:rPr>
              <w:t>和反冲洗废水</w:t>
            </w:r>
            <w:r>
              <w:rPr>
                <w:rFonts w:hint="default" w:ascii="Times New Roman" w:hAnsi="Times New Roman" w:cs="Times New Roman"/>
                <w:color w:val="FF0000"/>
                <w:sz w:val="24"/>
                <w:highlight w:val="none"/>
              </w:rPr>
              <w:t>。</w:t>
            </w:r>
          </w:p>
          <w:p w14:paraId="392EB89E">
            <w:pPr>
              <w:adjustRightInd w:val="0"/>
              <w:snapToGrid w:val="0"/>
              <w:spacing w:line="360" w:lineRule="auto"/>
              <w:ind w:firstLine="480" w:firstLineChars="200"/>
              <w:rPr>
                <w:rFonts w:hint="eastAsia" w:ascii="Times New Roman" w:hAnsi="Times New Roman" w:eastAsia="宋体" w:cs="Times New Roman"/>
                <w:color w:val="FF0000"/>
                <w:sz w:val="24"/>
                <w:highlight w:val="none"/>
                <w:lang w:eastAsia="zh-CN"/>
              </w:rPr>
            </w:pPr>
            <w:r>
              <w:rPr>
                <w:rFonts w:hint="default" w:ascii="Times New Roman" w:hAnsi="Times New Roman" w:cs="Times New Roman"/>
                <w:color w:val="FF0000"/>
                <w:sz w:val="24"/>
                <w:highlight w:val="none"/>
              </w:rPr>
              <w:t>①生活污水：本项目产生生活污水</w:t>
            </w:r>
            <w:r>
              <w:rPr>
                <w:rFonts w:hint="eastAsia" w:cs="Times New Roman"/>
                <w:color w:val="FF0000"/>
                <w:sz w:val="24"/>
                <w:highlight w:val="none"/>
                <w:lang w:val="en-US" w:eastAsia="zh-CN"/>
              </w:rPr>
              <w:t>和食堂废水经厂区化粪池和隔油池处理后达到接管标准，接管</w:t>
            </w:r>
            <w:r>
              <w:rPr>
                <w:rFonts w:hint="default" w:ascii="Times New Roman" w:hAnsi="Times New Roman" w:cs="Times New Roman"/>
                <w:color w:val="FF0000"/>
                <w:sz w:val="24"/>
                <w:highlight w:val="none"/>
              </w:rPr>
              <w:t>至扬州市六圩污水处理厂集中处理</w:t>
            </w:r>
            <w:r>
              <w:rPr>
                <w:rFonts w:hint="eastAsia" w:cs="Times New Roman"/>
                <w:color w:val="FF0000"/>
                <w:sz w:val="24"/>
                <w:highlight w:val="none"/>
                <w:lang w:eastAsia="zh-CN"/>
              </w:rPr>
              <w:t>。</w:t>
            </w:r>
          </w:p>
          <w:p w14:paraId="2681AA2D">
            <w:pPr>
              <w:adjustRightInd w:val="0"/>
              <w:snapToGrid w:val="0"/>
              <w:spacing w:line="360" w:lineRule="auto"/>
              <w:ind w:firstLine="480" w:firstLineChars="200"/>
              <w:rPr>
                <w:rFonts w:hint="default" w:ascii="Times New Roman" w:hAnsi="Times New Roman" w:cs="Times New Roman"/>
                <w:color w:val="FF0000"/>
                <w:sz w:val="24"/>
                <w:highlight w:val="none"/>
              </w:rPr>
            </w:pPr>
            <w:r>
              <w:rPr>
                <w:rFonts w:hint="default" w:ascii="Times New Roman" w:hAnsi="Times New Roman" w:cs="Times New Roman"/>
                <w:color w:val="FF0000"/>
                <w:sz w:val="24"/>
                <w:highlight w:val="none"/>
              </w:rPr>
              <w:t>②</w:t>
            </w:r>
            <w:r>
              <w:rPr>
                <w:rFonts w:hint="eastAsia" w:cs="Times New Roman"/>
                <w:color w:val="FF0000"/>
                <w:sz w:val="24"/>
                <w:highlight w:val="none"/>
                <w:lang w:val="en-US" w:eastAsia="zh-CN"/>
              </w:rPr>
              <w:t>冲洗废水、</w:t>
            </w:r>
            <w:r>
              <w:rPr>
                <w:rFonts w:hint="default" w:ascii="Times New Roman" w:hAnsi="Times New Roman" w:cs="Times New Roman"/>
                <w:color w:val="FF0000"/>
                <w:sz w:val="24"/>
                <w:highlight w:val="none"/>
              </w:rPr>
              <w:t>纯水制备</w:t>
            </w:r>
            <w:r>
              <w:rPr>
                <w:rFonts w:hint="eastAsia" w:cs="Times New Roman"/>
                <w:color w:val="FF0000"/>
                <w:sz w:val="24"/>
                <w:highlight w:val="none"/>
                <w:lang w:val="en-US" w:eastAsia="zh-CN"/>
              </w:rPr>
              <w:t>浓</w:t>
            </w:r>
            <w:r>
              <w:rPr>
                <w:rFonts w:hint="default" w:ascii="Times New Roman" w:hAnsi="Times New Roman" w:cs="Times New Roman"/>
                <w:color w:val="FF0000"/>
                <w:sz w:val="24"/>
                <w:highlight w:val="none"/>
              </w:rPr>
              <w:t>水</w:t>
            </w:r>
            <w:r>
              <w:rPr>
                <w:rFonts w:hint="eastAsia" w:cs="Times New Roman"/>
                <w:color w:val="FF0000"/>
                <w:sz w:val="24"/>
                <w:highlight w:val="none"/>
                <w:lang w:val="en-US" w:eastAsia="zh-CN"/>
              </w:rPr>
              <w:t>和反</w:t>
            </w:r>
            <w:r>
              <w:rPr>
                <w:rFonts w:hint="eastAsia" w:cs="Times New Roman"/>
                <w:color w:val="FF0000"/>
                <w:sz w:val="24"/>
                <w:highlight w:val="none"/>
                <w:lang w:eastAsia="zh-CN"/>
              </w:rPr>
              <w:t>冲洗废水</w:t>
            </w:r>
            <w:r>
              <w:rPr>
                <w:rFonts w:hint="default" w:ascii="Times New Roman" w:hAnsi="Times New Roman" w:cs="Times New Roman"/>
                <w:color w:val="FF0000"/>
                <w:sz w:val="24"/>
                <w:highlight w:val="none"/>
              </w:rPr>
              <w:t>，一并</w:t>
            </w:r>
            <w:r>
              <w:rPr>
                <w:rFonts w:hint="eastAsia" w:cs="Times New Roman"/>
                <w:color w:val="FF0000"/>
                <w:sz w:val="24"/>
                <w:highlight w:val="none"/>
                <w:lang w:val="en-US" w:eastAsia="zh-CN"/>
              </w:rPr>
              <w:t>排入厂区管道，</w:t>
            </w:r>
            <w:r>
              <w:rPr>
                <w:rFonts w:hint="default" w:ascii="Times New Roman" w:hAnsi="Times New Roman" w:cs="Times New Roman"/>
                <w:color w:val="FF0000"/>
                <w:sz w:val="24"/>
                <w:highlight w:val="none"/>
              </w:rPr>
              <w:t>接管至扬州市六圩污水处理厂处理。</w:t>
            </w:r>
          </w:p>
          <w:p w14:paraId="404EC88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（3）噪声</w:t>
            </w:r>
          </w:p>
          <w:p w14:paraId="79AC98E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本项目噪声源主要为设备运行时产生的运转噪声；对设备加设防振基础，噪声经过厂房隔声和衰减，基本不会对外界声环境产生影响，厂界噪声达标排放。           </w:t>
            </w:r>
          </w:p>
          <w:p w14:paraId="491BEA8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（4）固废</w:t>
            </w:r>
          </w:p>
          <w:p w14:paraId="117AB57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A.一般固废：一般废包装材料、纯水制备废</w:t>
            </w:r>
            <w:r>
              <w:rPr>
                <w:rFonts w:hint="eastAsia" w:cs="Times New Roman"/>
                <w:color w:val="auto"/>
                <w:sz w:val="24"/>
                <w:highlight w:val="none"/>
                <w:lang w:val="en-US" w:eastAsia="zh-CN"/>
              </w:rPr>
              <w:t>滤芯</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废渗透膜、</w:t>
            </w:r>
            <w:r>
              <w:rPr>
                <w:rFonts w:hint="default" w:ascii="Times New Roman" w:hAnsi="Times New Roman" w:cs="Times New Roman"/>
                <w:color w:val="auto"/>
                <w:sz w:val="24"/>
                <w:highlight w:val="none"/>
              </w:rPr>
              <w:t>废靶材。</w:t>
            </w:r>
          </w:p>
          <w:p w14:paraId="767E50D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B.危险废物：清洗废液，</w:t>
            </w:r>
            <w:r>
              <w:rPr>
                <w:rFonts w:hint="eastAsia" w:cs="Times New Roman"/>
                <w:color w:val="auto"/>
                <w:sz w:val="24"/>
                <w:highlight w:val="none"/>
                <w:lang w:eastAsia="zh-CN"/>
              </w:rPr>
              <w:t>废擦拭乙醇</w:t>
            </w:r>
            <w:r>
              <w:rPr>
                <w:rFonts w:hint="default" w:ascii="Times New Roman" w:hAnsi="Times New Roman" w:cs="Times New Roman"/>
                <w:color w:val="auto"/>
                <w:sz w:val="24"/>
                <w:highlight w:val="none"/>
              </w:rPr>
              <w:t>，废气处理设施废活性炭，实验配液间废一次性器具及防护用品、废涂布液</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化学品废包装材料</w:t>
            </w:r>
            <w:r>
              <w:rPr>
                <w:rFonts w:hint="eastAsia" w:cs="Times New Roman"/>
                <w:color w:val="auto"/>
                <w:sz w:val="24"/>
                <w:highlight w:val="none"/>
                <w:lang w:eastAsia="zh-CN"/>
              </w:rPr>
              <w:t>、</w:t>
            </w:r>
            <w:r>
              <w:rPr>
                <w:rFonts w:hint="eastAsia" w:cs="Times New Roman"/>
                <w:color w:val="auto"/>
                <w:sz w:val="24"/>
                <w:highlight w:val="none"/>
                <w:lang w:val="en-US" w:eastAsia="zh-CN"/>
              </w:rPr>
              <w:t>报废品、废润滑油和激光划线粉尘</w:t>
            </w:r>
            <w:r>
              <w:rPr>
                <w:rFonts w:hint="default" w:ascii="Times New Roman" w:hAnsi="Times New Roman" w:cs="Times New Roman"/>
                <w:color w:val="auto"/>
                <w:sz w:val="24"/>
                <w:highlight w:val="none"/>
              </w:rPr>
              <w:t>。</w:t>
            </w:r>
          </w:p>
          <w:p w14:paraId="1EDA115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C.生活垃圾：本项目共有员工150人，按0.5kg/d•人估算，则生活垃圾产生量为22.5 t/a，交由环卫部门处理。</w:t>
            </w:r>
          </w:p>
          <w:p w14:paraId="416D1B20">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4、产污环节汇总</w:t>
            </w:r>
          </w:p>
          <w:p w14:paraId="120DBED4">
            <w:pPr>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表2</w:t>
            </w:r>
            <w:r>
              <w:rPr>
                <w:rFonts w:hint="eastAsia" w:cs="Times New Roman"/>
                <w:b/>
                <w:bCs/>
                <w:color w:val="auto"/>
                <w:sz w:val="24"/>
                <w:highlight w:val="none"/>
                <w:lang w:val="en-US" w:eastAsia="zh-CN"/>
              </w:rPr>
              <w:t>7</w:t>
            </w:r>
            <w:r>
              <w:rPr>
                <w:rFonts w:hint="default" w:ascii="Times New Roman" w:hAnsi="Times New Roman" w:cs="Times New Roman"/>
                <w:b/>
                <w:bCs/>
                <w:color w:val="auto"/>
                <w:sz w:val="24"/>
                <w:highlight w:val="none"/>
              </w:rPr>
              <w:t xml:space="preserve">  项目产污环节汇总表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08"/>
              <w:gridCol w:w="2043"/>
              <w:gridCol w:w="2142"/>
              <w:gridCol w:w="1512"/>
            </w:tblGrid>
            <w:tr w14:paraId="73D10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C28C512">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污染项目</w:t>
                  </w:r>
                </w:p>
              </w:tc>
              <w:tc>
                <w:tcPr>
                  <w:tcW w:w="1821" w:type="dxa"/>
                  <w:vAlign w:val="center"/>
                </w:tcPr>
                <w:p w14:paraId="22266BCC">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产污环节</w:t>
                  </w:r>
                </w:p>
              </w:tc>
              <w:tc>
                <w:tcPr>
                  <w:tcW w:w="1950" w:type="dxa"/>
                  <w:vAlign w:val="center"/>
                </w:tcPr>
                <w:p w14:paraId="70C3F628">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污染源名称</w:t>
                  </w:r>
                </w:p>
              </w:tc>
              <w:tc>
                <w:tcPr>
                  <w:tcW w:w="2045" w:type="dxa"/>
                  <w:vAlign w:val="center"/>
                </w:tcPr>
                <w:p w14:paraId="1704DC3E">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主要污染物</w:t>
                  </w:r>
                </w:p>
              </w:tc>
              <w:tc>
                <w:tcPr>
                  <w:tcW w:w="1443" w:type="dxa"/>
                  <w:vAlign w:val="center"/>
                </w:tcPr>
                <w:p w14:paraId="62E64F69">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处置情况</w:t>
                  </w:r>
                </w:p>
              </w:tc>
            </w:tr>
            <w:tr w14:paraId="54005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restart"/>
                  <w:vAlign w:val="center"/>
                </w:tcPr>
                <w:p w14:paraId="206F2F6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1821" w:type="dxa"/>
                  <w:vAlign w:val="center"/>
                </w:tcPr>
                <w:p w14:paraId="3521F68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涂膜</w:t>
                  </w:r>
                </w:p>
              </w:tc>
              <w:tc>
                <w:tcPr>
                  <w:tcW w:w="1950" w:type="dxa"/>
                  <w:vAlign w:val="center"/>
                </w:tcPr>
                <w:p w14:paraId="7F76206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涂布溶液</w:t>
                  </w:r>
                </w:p>
              </w:tc>
              <w:tc>
                <w:tcPr>
                  <w:tcW w:w="2045" w:type="dxa"/>
                  <w:vAlign w:val="center"/>
                </w:tcPr>
                <w:p w14:paraId="1F80BD1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VOCs</w:t>
                  </w:r>
                </w:p>
              </w:tc>
              <w:tc>
                <w:tcPr>
                  <w:tcW w:w="1443" w:type="dxa"/>
                  <w:vMerge w:val="restart"/>
                  <w:vAlign w:val="center"/>
                </w:tcPr>
                <w:p w14:paraId="348BA10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二级活性炭</w:t>
                  </w:r>
                </w:p>
              </w:tc>
            </w:tr>
            <w:tr w14:paraId="5208C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744014DF">
                  <w:pPr>
                    <w:jc w:val="center"/>
                    <w:rPr>
                      <w:rFonts w:hint="default" w:ascii="Times New Roman" w:hAnsi="Times New Roman" w:cs="Times New Roman"/>
                      <w:color w:val="auto"/>
                      <w:highlight w:val="none"/>
                    </w:rPr>
                  </w:pPr>
                </w:p>
              </w:tc>
              <w:tc>
                <w:tcPr>
                  <w:tcW w:w="1821" w:type="dxa"/>
                  <w:vAlign w:val="center"/>
                </w:tcPr>
                <w:p w14:paraId="304147C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清洗</w:t>
                  </w:r>
                </w:p>
              </w:tc>
              <w:tc>
                <w:tcPr>
                  <w:tcW w:w="1950" w:type="dxa"/>
                  <w:vAlign w:val="center"/>
                </w:tcPr>
                <w:p w14:paraId="59F1A3F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清洗剂</w:t>
                  </w:r>
                </w:p>
              </w:tc>
              <w:tc>
                <w:tcPr>
                  <w:tcW w:w="2045" w:type="dxa"/>
                  <w:vAlign w:val="center"/>
                </w:tcPr>
                <w:p w14:paraId="76CD903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VOCs</w:t>
                  </w:r>
                </w:p>
              </w:tc>
              <w:tc>
                <w:tcPr>
                  <w:tcW w:w="1443" w:type="dxa"/>
                  <w:vMerge w:val="continue"/>
                  <w:vAlign w:val="center"/>
                </w:tcPr>
                <w:p w14:paraId="53C04883">
                  <w:pPr>
                    <w:jc w:val="center"/>
                    <w:rPr>
                      <w:rFonts w:hint="default" w:ascii="Times New Roman" w:hAnsi="Times New Roman" w:cs="Times New Roman"/>
                      <w:color w:val="auto"/>
                      <w:highlight w:val="none"/>
                    </w:rPr>
                  </w:pPr>
                </w:p>
              </w:tc>
            </w:tr>
            <w:tr w14:paraId="54A1C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78" w:type="dxa"/>
                  <w:vMerge w:val="continue"/>
                  <w:vAlign w:val="center"/>
                </w:tcPr>
                <w:p w14:paraId="1840184F">
                  <w:pPr>
                    <w:jc w:val="center"/>
                    <w:rPr>
                      <w:rFonts w:hint="default" w:ascii="Times New Roman" w:hAnsi="Times New Roman" w:cs="Times New Roman"/>
                      <w:color w:val="auto"/>
                      <w:highlight w:val="none"/>
                    </w:rPr>
                  </w:pPr>
                </w:p>
              </w:tc>
              <w:tc>
                <w:tcPr>
                  <w:tcW w:w="1821" w:type="dxa"/>
                  <w:vAlign w:val="center"/>
                </w:tcPr>
                <w:p w14:paraId="7B219A9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擦拭</w:t>
                  </w:r>
                </w:p>
              </w:tc>
              <w:tc>
                <w:tcPr>
                  <w:tcW w:w="1950" w:type="dxa"/>
                  <w:vAlign w:val="center"/>
                </w:tcPr>
                <w:p w14:paraId="2832B474">
                  <w:pPr>
                    <w:jc w:val="center"/>
                    <w:rPr>
                      <w:rFonts w:hint="default" w:ascii="Times New Roman" w:hAnsi="Times New Roman" w:cs="Times New Roman"/>
                      <w:color w:val="auto"/>
                      <w:highlight w:val="none"/>
                    </w:rPr>
                  </w:pPr>
                  <w:r>
                    <w:rPr>
                      <w:rFonts w:hint="eastAsia" w:cs="Times New Roman"/>
                      <w:color w:val="auto"/>
                      <w:highlight w:val="none"/>
                      <w:lang w:eastAsia="zh-CN"/>
                    </w:rPr>
                    <w:t>乙醇</w:t>
                  </w:r>
                </w:p>
              </w:tc>
              <w:tc>
                <w:tcPr>
                  <w:tcW w:w="2045" w:type="dxa"/>
                  <w:vAlign w:val="center"/>
                </w:tcPr>
                <w:p w14:paraId="46321F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VOCs</w:t>
                  </w:r>
                </w:p>
              </w:tc>
              <w:tc>
                <w:tcPr>
                  <w:tcW w:w="1443" w:type="dxa"/>
                  <w:vMerge w:val="continue"/>
                  <w:vAlign w:val="center"/>
                </w:tcPr>
                <w:p w14:paraId="53F211BE">
                  <w:pPr>
                    <w:jc w:val="center"/>
                    <w:rPr>
                      <w:rFonts w:hint="default" w:ascii="Times New Roman" w:hAnsi="Times New Roman" w:cs="Times New Roman"/>
                      <w:color w:val="auto"/>
                      <w:highlight w:val="none"/>
                    </w:rPr>
                  </w:pPr>
                </w:p>
              </w:tc>
            </w:tr>
            <w:tr w14:paraId="2646E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78" w:type="dxa"/>
                  <w:vMerge w:val="continue"/>
                  <w:vAlign w:val="center"/>
                </w:tcPr>
                <w:p w14:paraId="1F95FCBD">
                  <w:pPr>
                    <w:jc w:val="center"/>
                    <w:rPr>
                      <w:rFonts w:hint="default" w:ascii="Times New Roman" w:hAnsi="Times New Roman" w:cs="Times New Roman"/>
                      <w:color w:val="auto"/>
                      <w:highlight w:val="none"/>
                    </w:rPr>
                  </w:pPr>
                </w:p>
              </w:tc>
              <w:tc>
                <w:tcPr>
                  <w:tcW w:w="1821" w:type="dxa"/>
                  <w:vAlign w:val="center"/>
                </w:tcPr>
                <w:p w14:paraId="627FBE5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950" w:type="dxa"/>
                  <w:vAlign w:val="center"/>
                </w:tcPr>
                <w:p w14:paraId="519579B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045" w:type="dxa"/>
                  <w:vAlign w:val="center"/>
                </w:tcPr>
                <w:p w14:paraId="4083AF93">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443" w:type="dxa"/>
                  <w:vAlign w:val="center"/>
                </w:tcPr>
                <w:p w14:paraId="01A5B5E5">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r>
            <w:tr w14:paraId="026A9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8" w:type="dxa"/>
                  <w:vMerge w:val="restart"/>
                  <w:vAlign w:val="center"/>
                </w:tcPr>
                <w:p w14:paraId="4F84BF3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1821" w:type="dxa"/>
                  <w:vAlign w:val="center"/>
                </w:tcPr>
                <w:p w14:paraId="41C9ECB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职工生活</w:t>
                  </w:r>
                </w:p>
              </w:tc>
              <w:tc>
                <w:tcPr>
                  <w:tcW w:w="1950" w:type="dxa"/>
                  <w:vAlign w:val="center"/>
                </w:tcPr>
                <w:p w14:paraId="6C41ADC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生活污水</w:t>
                  </w:r>
                </w:p>
              </w:tc>
              <w:tc>
                <w:tcPr>
                  <w:tcW w:w="2045" w:type="dxa"/>
                  <w:vAlign w:val="center"/>
                </w:tcPr>
                <w:p w14:paraId="26C95DE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废水量、COD、氨氮、TP、TN</w:t>
                  </w:r>
                </w:p>
              </w:tc>
              <w:tc>
                <w:tcPr>
                  <w:tcW w:w="1443" w:type="dxa"/>
                  <w:vAlign w:val="center"/>
                </w:tcPr>
                <w:p w14:paraId="4AE31E4E">
                  <w:pPr>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经化粪池处理后排入污水管网</w:t>
                  </w:r>
                </w:p>
              </w:tc>
            </w:tr>
            <w:tr w14:paraId="27F8B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78" w:type="dxa"/>
                  <w:vMerge w:val="continue"/>
                  <w:vAlign w:val="center"/>
                </w:tcPr>
                <w:p w14:paraId="5C672ECD">
                  <w:pPr>
                    <w:jc w:val="center"/>
                    <w:rPr>
                      <w:rFonts w:hint="default" w:ascii="Times New Roman" w:hAnsi="Times New Roman" w:cs="Times New Roman"/>
                      <w:color w:val="auto"/>
                      <w:highlight w:val="none"/>
                    </w:rPr>
                  </w:pPr>
                </w:p>
              </w:tc>
              <w:tc>
                <w:tcPr>
                  <w:tcW w:w="1821" w:type="dxa"/>
                  <w:vAlign w:val="center"/>
                </w:tcPr>
                <w:p w14:paraId="01A35C7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食堂</w:t>
                  </w:r>
                </w:p>
              </w:tc>
              <w:tc>
                <w:tcPr>
                  <w:tcW w:w="1950" w:type="dxa"/>
                  <w:vAlign w:val="center"/>
                </w:tcPr>
                <w:p w14:paraId="3A87E43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食堂废水</w:t>
                  </w:r>
                </w:p>
              </w:tc>
              <w:tc>
                <w:tcPr>
                  <w:tcW w:w="2045" w:type="dxa"/>
                  <w:vAlign w:val="center"/>
                </w:tcPr>
                <w:p w14:paraId="3952ADA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废水量、COD、氨氮、TP、TN、动植物油</w:t>
                  </w:r>
                </w:p>
              </w:tc>
              <w:tc>
                <w:tcPr>
                  <w:tcW w:w="1443" w:type="dxa"/>
                  <w:vAlign w:val="center"/>
                </w:tcPr>
                <w:p w14:paraId="715F8FB5">
                  <w:pPr>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经隔油池处理与生活污水一起排入污水管网</w:t>
                  </w:r>
                </w:p>
              </w:tc>
            </w:tr>
            <w:tr w14:paraId="27C3D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78" w:type="dxa"/>
                  <w:vMerge w:val="continue"/>
                  <w:vAlign w:val="center"/>
                </w:tcPr>
                <w:p w14:paraId="03C40C81">
                  <w:pPr>
                    <w:jc w:val="center"/>
                    <w:rPr>
                      <w:rFonts w:hint="default" w:ascii="Times New Roman" w:hAnsi="Times New Roman" w:cs="Times New Roman"/>
                      <w:color w:val="auto"/>
                      <w:highlight w:val="none"/>
                    </w:rPr>
                  </w:pPr>
                </w:p>
              </w:tc>
              <w:tc>
                <w:tcPr>
                  <w:tcW w:w="1821" w:type="dxa"/>
                  <w:vAlign w:val="center"/>
                </w:tcPr>
                <w:p w14:paraId="56A3B7C7">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清洗</w:t>
                  </w:r>
                </w:p>
              </w:tc>
              <w:tc>
                <w:tcPr>
                  <w:tcW w:w="1950" w:type="dxa"/>
                  <w:vAlign w:val="center"/>
                </w:tcPr>
                <w:p w14:paraId="2A6B8AA4">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冲洗废水</w:t>
                  </w:r>
                </w:p>
              </w:tc>
              <w:tc>
                <w:tcPr>
                  <w:tcW w:w="2045" w:type="dxa"/>
                  <w:vAlign w:val="center"/>
                </w:tcPr>
                <w:p w14:paraId="79675C83">
                  <w:pPr>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废水量、</w:t>
                  </w:r>
                  <w:r>
                    <w:rPr>
                      <w:rFonts w:hint="default" w:ascii="Times New Roman" w:hAnsi="Times New Roman" w:cs="Times New Roman"/>
                      <w:color w:val="auto"/>
                      <w:highlight w:val="none"/>
                    </w:rPr>
                    <w:t>COD、SS</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石油类、LAS</w:t>
                  </w:r>
                </w:p>
              </w:tc>
              <w:tc>
                <w:tcPr>
                  <w:tcW w:w="1443" w:type="dxa"/>
                  <w:vMerge w:val="restart"/>
                  <w:vAlign w:val="center"/>
                </w:tcPr>
                <w:p w14:paraId="62A85887">
                  <w:pPr>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接入污水管网</w:t>
                  </w:r>
                </w:p>
              </w:tc>
            </w:tr>
            <w:tr w14:paraId="7B01E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8" w:type="dxa"/>
                  <w:vMerge w:val="continue"/>
                  <w:vAlign w:val="center"/>
                </w:tcPr>
                <w:p w14:paraId="6F04AF9A">
                  <w:pPr>
                    <w:jc w:val="center"/>
                    <w:rPr>
                      <w:rFonts w:hint="default" w:ascii="Times New Roman" w:hAnsi="Times New Roman" w:cs="Times New Roman"/>
                      <w:color w:val="auto"/>
                      <w:highlight w:val="none"/>
                    </w:rPr>
                  </w:pPr>
                </w:p>
              </w:tc>
              <w:tc>
                <w:tcPr>
                  <w:tcW w:w="1821" w:type="dxa"/>
                  <w:vAlign w:val="center"/>
                </w:tcPr>
                <w:p w14:paraId="65B6E586">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纯水机</w:t>
                  </w:r>
                </w:p>
              </w:tc>
              <w:tc>
                <w:tcPr>
                  <w:tcW w:w="1950" w:type="dxa"/>
                  <w:vAlign w:val="center"/>
                </w:tcPr>
                <w:p w14:paraId="1F209A05">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纯水制备浓水</w:t>
                  </w:r>
                  <w:r>
                    <w:rPr>
                      <w:rFonts w:hint="eastAsia" w:cs="Times New Roman"/>
                      <w:color w:val="auto"/>
                      <w:highlight w:val="none"/>
                      <w:lang w:eastAsia="zh-CN"/>
                    </w:rPr>
                    <w:t>、</w:t>
                  </w:r>
                  <w:r>
                    <w:rPr>
                      <w:rFonts w:hint="eastAsia" w:cs="Times New Roman"/>
                      <w:color w:val="auto"/>
                      <w:highlight w:val="none"/>
                      <w:lang w:val="en-US" w:eastAsia="zh-CN"/>
                    </w:rPr>
                    <w:t>反冲洗废水</w:t>
                  </w:r>
                </w:p>
              </w:tc>
              <w:tc>
                <w:tcPr>
                  <w:tcW w:w="2045" w:type="dxa"/>
                  <w:vAlign w:val="center"/>
                </w:tcPr>
                <w:p w14:paraId="0ADD639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废水量、COD、SS</w:t>
                  </w:r>
                </w:p>
              </w:tc>
              <w:tc>
                <w:tcPr>
                  <w:tcW w:w="1443" w:type="dxa"/>
                  <w:vMerge w:val="continue"/>
                  <w:vAlign w:val="center"/>
                </w:tcPr>
                <w:p w14:paraId="15866C3B">
                  <w:pPr>
                    <w:jc w:val="center"/>
                    <w:rPr>
                      <w:rFonts w:hint="default" w:ascii="Times New Roman" w:hAnsi="Times New Roman" w:eastAsia="宋体" w:cs="Times New Roman"/>
                      <w:color w:val="auto"/>
                      <w:highlight w:val="none"/>
                      <w:lang w:val="en-US" w:eastAsia="zh-CN"/>
                    </w:rPr>
                  </w:pPr>
                </w:p>
              </w:tc>
            </w:tr>
            <w:tr w14:paraId="3EC8C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8" w:type="dxa"/>
                  <w:vMerge w:val="restart"/>
                  <w:vAlign w:val="center"/>
                </w:tcPr>
                <w:p w14:paraId="01D85E17">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固废</w:t>
                  </w:r>
                </w:p>
              </w:tc>
              <w:tc>
                <w:tcPr>
                  <w:tcW w:w="1821" w:type="dxa"/>
                  <w:vAlign w:val="center"/>
                </w:tcPr>
                <w:p w14:paraId="252FC7AC">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生产厂房一</w:t>
                  </w:r>
                </w:p>
              </w:tc>
              <w:tc>
                <w:tcPr>
                  <w:tcW w:w="1950" w:type="dxa"/>
                  <w:vAlign w:val="center"/>
                </w:tcPr>
                <w:p w14:paraId="745E59A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一般废包装材料</w:t>
                  </w:r>
                </w:p>
              </w:tc>
              <w:tc>
                <w:tcPr>
                  <w:tcW w:w="2045" w:type="dxa"/>
                  <w:vAlign w:val="center"/>
                </w:tcPr>
                <w:p w14:paraId="139BA61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一般废包装材料</w:t>
                  </w:r>
                </w:p>
              </w:tc>
              <w:tc>
                <w:tcPr>
                  <w:tcW w:w="1443" w:type="dxa"/>
                  <w:vMerge w:val="restart"/>
                  <w:vAlign w:val="center"/>
                </w:tcPr>
                <w:p w14:paraId="374B13C1">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一般固废</w:t>
                  </w:r>
                </w:p>
              </w:tc>
            </w:tr>
            <w:tr w14:paraId="4AA1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330B5D87">
                  <w:pPr>
                    <w:jc w:val="center"/>
                    <w:rPr>
                      <w:rFonts w:hint="default" w:ascii="Times New Roman" w:hAnsi="Times New Roman" w:cs="Times New Roman"/>
                      <w:color w:val="auto"/>
                      <w:highlight w:val="none"/>
                    </w:rPr>
                  </w:pPr>
                </w:p>
              </w:tc>
              <w:tc>
                <w:tcPr>
                  <w:tcW w:w="1821" w:type="dxa"/>
                  <w:vAlign w:val="center"/>
                </w:tcPr>
                <w:p w14:paraId="0C88E88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950" w:type="dxa"/>
                  <w:vAlign w:val="center"/>
                </w:tcPr>
                <w:p w14:paraId="1B0E00A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045" w:type="dxa"/>
                  <w:vAlign w:val="center"/>
                </w:tcPr>
                <w:p w14:paraId="0B2C41B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443" w:type="dxa"/>
                  <w:vMerge w:val="continue"/>
                  <w:vAlign w:val="center"/>
                </w:tcPr>
                <w:p w14:paraId="20BCB847">
                  <w:pPr>
                    <w:jc w:val="center"/>
                    <w:rPr>
                      <w:rFonts w:hint="default" w:ascii="Times New Roman" w:hAnsi="Times New Roman" w:cs="Times New Roman"/>
                      <w:color w:val="auto"/>
                      <w:highlight w:val="none"/>
                    </w:rPr>
                  </w:pPr>
                </w:p>
              </w:tc>
            </w:tr>
            <w:tr w14:paraId="6394F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7DE3063F">
                  <w:pPr>
                    <w:jc w:val="center"/>
                    <w:rPr>
                      <w:rFonts w:hint="default" w:ascii="Times New Roman" w:hAnsi="Times New Roman" w:cs="Times New Roman"/>
                      <w:color w:val="auto"/>
                      <w:highlight w:val="none"/>
                    </w:rPr>
                  </w:pPr>
                </w:p>
              </w:tc>
              <w:tc>
                <w:tcPr>
                  <w:tcW w:w="1821" w:type="dxa"/>
                  <w:vAlign w:val="center"/>
                </w:tcPr>
                <w:p w14:paraId="313BDFC6">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950" w:type="dxa"/>
                  <w:vAlign w:val="center"/>
                </w:tcPr>
                <w:p w14:paraId="02A95222">
                  <w:pPr>
                    <w:jc w:val="center"/>
                    <w:rPr>
                      <w:rFonts w:hint="eastAsia" w:ascii="Times New Roman" w:hAnsi="Times New Roman" w:eastAsia="宋体" w:cs="Times New Roman"/>
                      <w:color w:val="auto"/>
                      <w:highlight w:val="none"/>
                      <w:lang w:eastAsia="zh-CN"/>
                    </w:rPr>
                  </w:pPr>
                  <w:r>
                    <w:rPr>
                      <w:rFonts w:hint="eastAsia" w:cs="Times New Roman"/>
                      <w:color w:val="auto"/>
                      <w:sz w:val="24"/>
                      <w:szCs w:val="24"/>
                      <w:highlight w:val="none"/>
                      <w:lang w:val="en-US" w:eastAsia="zh-CN"/>
                    </w:rPr>
                    <w:t>***</w:t>
                  </w:r>
                </w:p>
              </w:tc>
              <w:tc>
                <w:tcPr>
                  <w:tcW w:w="2045" w:type="dxa"/>
                  <w:vAlign w:val="center"/>
                </w:tcPr>
                <w:p w14:paraId="268E3621">
                  <w:pPr>
                    <w:jc w:val="center"/>
                    <w:rPr>
                      <w:rFonts w:hint="eastAsia" w:ascii="Times New Roman" w:hAnsi="Times New Roman" w:eastAsia="宋体" w:cs="Times New Roman"/>
                      <w:color w:val="auto"/>
                      <w:highlight w:val="none"/>
                      <w:lang w:eastAsia="zh-CN"/>
                    </w:rPr>
                  </w:pPr>
                  <w:r>
                    <w:rPr>
                      <w:rFonts w:hint="eastAsia" w:cs="Times New Roman"/>
                      <w:color w:val="auto"/>
                      <w:sz w:val="24"/>
                      <w:szCs w:val="24"/>
                      <w:highlight w:val="none"/>
                      <w:lang w:val="en-US" w:eastAsia="zh-CN"/>
                    </w:rPr>
                    <w:t>***</w:t>
                  </w:r>
                </w:p>
              </w:tc>
              <w:tc>
                <w:tcPr>
                  <w:tcW w:w="1443" w:type="dxa"/>
                  <w:vMerge w:val="continue"/>
                  <w:vAlign w:val="center"/>
                </w:tcPr>
                <w:p w14:paraId="5B0EE100">
                  <w:pPr>
                    <w:jc w:val="center"/>
                    <w:rPr>
                      <w:rFonts w:hint="default" w:ascii="Times New Roman" w:hAnsi="Times New Roman" w:cs="Times New Roman"/>
                      <w:color w:val="auto"/>
                      <w:highlight w:val="none"/>
                    </w:rPr>
                  </w:pPr>
                </w:p>
              </w:tc>
            </w:tr>
            <w:tr w14:paraId="1E353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4C22722A">
                  <w:pPr>
                    <w:jc w:val="center"/>
                    <w:rPr>
                      <w:rFonts w:hint="default" w:ascii="Times New Roman" w:hAnsi="Times New Roman" w:cs="Times New Roman"/>
                      <w:color w:val="auto"/>
                      <w:highlight w:val="none"/>
                    </w:rPr>
                  </w:pPr>
                </w:p>
              </w:tc>
              <w:tc>
                <w:tcPr>
                  <w:tcW w:w="1821" w:type="dxa"/>
                  <w:vAlign w:val="center"/>
                </w:tcPr>
                <w:p w14:paraId="7CBA889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950" w:type="dxa"/>
                  <w:vAlign w:val="center"/>
                </w:tcPr>
                <w:p w14:paraId="325C855B">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2045" w:type="dxa"/>
                  <w:vAlign w:val="center"/>
                </w:tcPr>
                <w:p w14:paraId="18B2A99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443" w:type="dxa"/>
                  <w:vMerge w:val="continue"/>
                  <w:vAlign w:val="center"/>
                </w:tcPr>
                <w:p w14:paraId="68B390F4">
                  <w:pPr>
                    <w:jc w:val="center"/>
                    <w:rPr>
                      <w:rFonts w:hint="default" w:ascii="Times New Roman" w:hAnsi="Times New Roman" w:cs="Times New Roman"/>
                      <w:color w:val="auto"/>
                      <w:highlight w:val="none"/>
                    </w:rPr>
                  </w:pPr>
                </w:p>
              </w:tc>
            </w:tr>
            <w:tr w14:paraId="49E29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Merge w:val="continue"/>
                  <w:vAlign w:val="center"/>
                </w:tcPr>
                <w:p w14:paraId="2D4FE703">
                  <w:pPr>
                    <w:jc w:val="center"/>
                    <w:rPr>
                      <w:rFonts w:hint="default" w:ascii="Times New Roman" w:hAnsi="Times New Roman" w:cs="Times New Roman"/>
                      <w:color w:val="auto"/>
                      <w:highlight w:val="none"/>
                    </w:rPr>
                  </w:pPr>
                </w:p>
              </w:tc>
              <w:tc>
                <w:tcPr>
                  <w:tcW w:w="1821" w:type="dxa"/>
                  <w:vAlign w:val="center"/>
                </w:tcPr>
                <w:p w14:paraId="5BD49DC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950" w:type="dxa"/>
                  <w:vAlign w:val="center"/>
                </w:tcPr>
                <w:p w14:paraId="5FAB7B9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2045" w:type="dxa"/>
                  <w:vAlign w:val="center"/>
                </w:tcPr>
                <w:p w14:paraId="0AE86A6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443" w:type="dxa"/>
                  <w:vMerge w:val="restart"/>
                  <w:vAlign w:val="center"/>
                </w:tcPr>
                <w:p w14:paraId="704BF6C9">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危险废物</w:t>
                  </w:r>
                </w:p>
              </w:tc>
            </w:tr>
            <w:tr w14:paraId="30F52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8" w:type="dxa"/>
                  <w:vMerge w:val="continue"/>
                  <w:vAlign w:val="center"/>
                </w:tcPr>
                <w:p w14:paraId="0D2828A1">
                  <w:pPr>
                    <w:jc w:val="center"/>
                    <w:rPr>
                      <w:rFonts w:hint="default" w:ascii="Times New Roman" w:hAnsi="Times New Roman" w:cs="Times New Roman"/>
                      <w:color w:val="auto"/>
                      <w:highlight w:val="none"/>
                    </w:rPr>
                  </w:pPr>
                </w:p>
              </w:tc>
              <w:tc>
                <w:tcPr>
                  <w:tcW w:w="1821" w:type="dxa"/>
                  <w:shd w:val="clear" w:color="auto" w:fill="auto"/>
                  <w:vAlign w:val="center"/>
                </w:tcPr>
                <w:p w14:paraId="7412AE4D">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950" w:type="dxa"/>
                  <w:shd w:val="clear" w:color="auto" w:fill="auto"/>
                  <w:vAlign w:val="center"/>
                </w:tcPr>
                <w:p w14:paraId="7ED337B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045" w:type="dxa"/>
                  <w:shd w:val="clear" w:color="auto" w:fill="auto"/>
                  <w:vAlign w:val="center"/>
                </w:tcPr>
                <w:p w14:paraId="542B4BFA">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443" w:type="dxa"/>
                  <w:vMerge w:val="continue"/>
                  <w:vAlign w:val="center"/>
                </w:tcPr>
                <w:p w14:paraId="7AD1CC4C">
                  <w:pPr>
                    <w:jc w:val="center"/>
                    <w:rPr>
                      <w:rFonts w:hint="default" w:ascii="Times New Roman" w:hAnsi="Times New Roman" w:eastAsia="宋体" w:cs="Times New Roman"/>
                      <w:color w:val="auto"/>
                      <w:highlight w:val="none"/>
                      <w:lang w:val="en-US" w:eastAsia="zh-CN"/>
                    </w:rPr>
                  </w:pPr>
                </w:p>
              </w:tc>
            </w:tr>
            <w:tr w14:paraId="5CEFE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6D1D6DE3">
                  <w:pPr>
                    <w:jc w:val="center"/>
                    <w:rPr>
                      <w:rFonts w:hint="default" w:ascii="Times New Roman" w:hAnsi="Times New Roman" w:cs="Times New Roman"/>
                      <w:color w:val="auto"/>
                      <w:highlight w:val="none"/>
                    </w:rPr>
                  </w:pPr>
                </w:p>
              </w:tc>
              <w:tc>
                <w:tcPr>
                  <w:tcW w:w="1821" w:type="dxa"/>
                  <w:shd w:val="clear" w:color="auto" w:fill="auto"/>
                  <w:vAlign w:val="center"/>
                </w:tcPr>
                <w:p w14:paraId="51F5A5C7">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950" w:type="dxa"/>
                  <w:shd w:val="clear" w:color="auto" w:fill="auto"/>
                  <w:vAlign w:val="center"/>
                </w:tcPr>
                <w:p w14:paraId="33DC5178">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045" w:type="dxa"/>
                  <w:shd w:val="clear" w:color="auto" w:fill="auto"/>
                  <w:vAlign w:val="center"/>
                </w:tcPr>
                <w:p w14:paraId="4A1ECBA2">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443" w:type="dxa"/>
                  <w:vMerge w:val="continue"/>
                  <w:vAlign w:val="center"/>
                </w:tcPr>
                <w:p w14:paraId="48FEB5A7">
                  <w:pPr>
                    <w:jc w:val="center"/>
                    <w:rPr>
                      <w:rFonts w:hint="eastAsia" w:ascii="Times New Roman" w:hAnsi="Times New Roman" w:eastAsia="宋体" w:cs="Times New Roman"/>
                      <w:color w:val="auto"/>
                      <w:highlight w:val="none"/>
                      <w:lang w:val="en-US" w:eastAsia="zh-CN"/>
                    </w:rPr>
                  </w:pPr>
                </w:p>
              </w:tc>
            </w:tr>
            <w:tr w14:paraId="02615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6D25A2F4">
                  <w:pPr>
                    <w:jc w:val="center"/>
                    <w:rPr>
                      <w:rFonts w:hint="default" w:ascii="Times New Roman" w:hAnsi="Times New Roman" w:cs="Times New Roman"/>
                      <w:color w:val="auto"/>
                      <w:highlight w:val="none"/>
                    </w:rPr>
                  </w:pPr>
                </w:p>
              </w:tc>
              <w:tc>
                <w:tcPr>
                  <w:tcW w:w="1821" w:type="dxa"/>
                  <w:shd w:val="clear" w:color="auto" w:fill="auto"/>
                  <w:vAlign w:val="center"/>
                </w:tcPr>
                <w:p w14:paraId="665C167C">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950" w:type="dxa"/>
                  <w:shd w:val="clear" w:color="auto" w:fill="auto"/>
                  <w:vAlign w:val="center"/>
                </w:tcPr>
                <w:p w14:paraId="4F355421">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045" w:type="dxa"/>
                  <w:shd w:val="clear" w:color="auto" w:fill="auto"/>
                  <w:vAlign w:val="center"/>
                </w:tcPr>
                <w:p w14:paraId="65F1BCE5">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443" w:type="dxa"/>
                  <w:vMerge w:val="continue"/>
                  <w:vAlign w:val="center"/>
                </w:tcPr>
                <w:p w14:paraId="06977D8A">
                  <w:pPr>
                    <w:jc w:val="center"/>
                    <w:rPr>
                      <w:rFonts w:hint="default" w:ascii="Times New Roman" w:hAnsi="Times New Roman" w:cs="Times New Roman"/>
                      <w:color w:val="auto"/>
                      <w:highlight w:val="none"/>
                    </w:rPr>
                  </w:pPr>
                </w:p>
              </w:tc>
            </w:tr>
            <w:tr w14:paraId="4A454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5B48CECA">
                  <w:pPr>
                    <w:jc w:val="center"/>
                    <w:rPr>
                      <w:rFonts w:hint="default" w:ascii="Times New Roman" w:hAnsi="Times New Roman" w:cs="Times New Roman"/>
                      <w:color w:val="auto"/>
                      <w:highlight w:val="none"/>
                    </w:rPr>
                  </w:pPr>
                </w:p>
              </w:tc>
              <w:tc>
                <w:tcPr>
                  <w:tcW w:w="1821" w:type="dxa"/>
                  <w:shd w:val="clear" w:color="auto" w:fill="auto"/>
                  <w:vAlign w:val="center"/>
                </w:tcPr>
                <w:p w14:paraId="7237BFE0">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950" w:type="dxa"/>
                  <w:shd w:val="clear" w:color="auto" w:fill="auto"/>
                  <w:vAlign w:val="center"/>
                </w:tcPr>
                <w:p w14:paraId="2C9E82A3">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045" w:type="dxa"/>
                  <w:shd w:val="clear" w:color="auto" w:fill="auto"/>
                  <w:vAlign w:val="center"/>
                </w:tcPr>
                <w:p w14:paraId="713AF549">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443" w:type="dxa"/>
                  <w:vMerge w:val="continue"/>
                  <w:vAlign w:val="center"/>
                </w:tcPr>
                <w:p w14:paraId="226EC1F1">
                  <w:pPr>
                    <w:jc w:val="center"/>
                    <w:rPr>
                      <w:rFonts w:hint="eastAsia" w:ascii="Times New Roman" w:hAnsi="Times New Roman" w:eastAsia="宋体" w:cs="Times New Roman"/>
                      <w:color w:val="auto"/>
                      <w:highlight w:val="none"/>
                      <w:lang w:val="en-US" w:eastAsia="zh-CN"/>
                    </w:rPr>
                  </w:pPr>
                </w:p>
              </w:tc>
            </w:tr>
            <w:tr w14:paraId="16A0D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4D54E25C">
                  <w:pPr>
                    <w:jc w:val="center"/>
                    <w:rPr>
                      <w:rFonts w:hint="default" w:ascii="Times New Roman" w:hAnsi="Times New Roman" w:cs="Times New Roman"/>
                      <w:color w:val="auto"/>
                      <w:highlight w:val="none"/>
                    </w:rPr>
                  </w:pPr>
                </w:p>
              </w:tc>
              <w:tc>
                <w:tcPr>
                  <w:tcW w:w="1821" w:type="dxa"/>
                  <w:shd w:val="clear" w:color="auto" w:fill="auto"/>
                  <w:vAlign w:val="center"/>
                </w:tcPr>
                <w:p w14:paraId="097FC4F9">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950" w:type="dxa"/>
                  <w:shd w:val="clear" w:color="auto" w:fill="auto"/>
                  <w:vAlign w:val="center"/>
                </w:tcPr>
                <w:p w14:paraId="57087EC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045" w:type="dxa"/>
                  <w:shd w:val="clear" w:color="auto" w:fill="auto"/>
                  <w:vAlign w:val="center"/>
                </w:tcPr>
                <w:p w14:paraId="21D4DE8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443" w:type="dxa"/>
                  <w:vMerge w:val="continue"/>
                  <w:vAlign w:val="center"/>
                </w:tcPr>
                <w:p w14:paraId="4D127F58">
                  <w:pPr>
                    <w:jc w:val="center"/>
                    <w:rPr>
                      <w:rFonts w:hint="default" w:ascii="Times New Roman" w:hAnsi="Times New Roman" w:cs="Times New Roman"/>
                      <w:color w:val="auto"/>
                      <w:highlight w:val="none"/>
                    </w:rPr>
                  </w:pPr>
                </w:p>
              </w:tc>
            </w:tr>
            <w:tr w14:paraId="2EAB4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0913F221">
                  <w:pPr>
                    <w:jc w:val="center"/>
                    <w:rPr>
                      <w:rFonts w:hint="default" w:ascii="Times New Roman" w:hAnsi="Times New Roman" w:cs="Times New Roman"/>
                      <w:color w:val="auto"/>
                      <w:highlight w:val="none"/>
                    </w:rPr>
                  </w:pPr>
                </w:p>
              </w:tc>
              <w:tc>
                <w:tcPr>
                  <w:tcW w:w="1821" w:type="dxa"/>
                  <w:shd w:val="clear" w:color="auto" w:fill="auto"/>
                  <w:vAlign w:val="center"/>
                </w:tcPr>
                <w:p w14:paraId="791DD50B">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950" w:type="dxa"/>
                  <w:shd w:val="clear" w:color="auto" w:fill="auto"/>
                  <w:vAlign w:val="center"/>
                </w:tcPr>
                <w:p w14:paraId="2EA8D3EA">
                  <w:pPr>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045" w:type="dxa"/>
                  <w:shd w:val="clear" w:color="auto" w:fill="auto"/>
                  <w:vAlign w:val="center"/>
                </w:tcPr>
                <w:p w14:paraId="3F069664">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443" w:type="dxa"/>
                  <w:vMerge w:val="continue"/>
                  <w:vAlign w:val="center"/>
                </w:tcPr>
                <w:p w14:paraId="1EB0C37D">
                  <w:pPr>
                    <w:jc w:val="center"/>
                    <w:rPr>
                      <w:rFonts w:hint="default" w:ascii="Times New Roman" w:hAnsi="Times New Roman" w:cs="Times New Roman"/>
                      <w:color w:val="auto"/>
                      <w:highlight w:val="none"/>
                    </w:rPr>
                  </w:pPr>
                </w:p>
              </w:tc>
            </w:tr>
            <w:tr w14:paraId="5DB5D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0743A83A">
                  <w:pPr>
                    <w:jc w:val="center"/>
                    <w:rPr>
                      <w:rFonts w:hint="default" w:ascii="Times New Roman" w:hAnsi="Times New Roman" w:cs="Times New Roman"/>
                      <w:color w:val="auto"/>
                      <w:highlight w:val="none"/>
                    </w:rPr>
                  </w:pPr>
                </w:p>
              </w:tc>
              <w:tc>
                <w:tcPr>
                  <w:tcW w:w="1821" w:type="dxa"/>
                  <w:shd w:val="clear" w:color="auto" w:fill="auto"/>
                  <w:vAlign w:val="center"/>
                </w:tcPr>
                <w:p w14:paraId="598A7BF6">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950" w:type="dxa"/>
                  <w:shd w:val="clear" w:color="auto" w:fill="auto"/>
                  <w:vAlign w:val="center"/>
                </w:tcPr>
                <w:p w14:paraId="7256CCD0">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2045" w:type="dxa"/>
                  <w:shd w:val="clear" w:color="auto" w:fill="auto"/>
                  <w:vAlign w:val="center"/>
                </w:tcPr>
                <w:p w14:paraId="263B3A3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1443" w:type="dxa"/>
                  <w:vMerge w:val="continue"/>
                  <w:vAlign w:val="center"/>
                </w:tcPr>
                <w:p w14:paraId="0527BBFC">
                  <w:pPr>
                    <w:jc w:val="center"/>
                    <w:rPr>
                      <w:rFonts w:hint="default" w:ascii="Times New Roman" w:hAnsi="Times New Roman" w:cs="Times New Roman"/>
                      <w:color w:val="auto"/>
                      <w:highlight w:val="none"/>
                    </w:rPr>
                  </w:pPr>
                </w:p>
              </w:tc>
            </w:tr>
            <w:tr w14:paraId="3C333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5A10D6A0">
                  <w:pPr>
                    <w:jc w:val="center"/>
                    <w:rPr>
                      <w:rFonts w:hint="default" w:ascii="Times New Roman" w:hAnsi="Times New Roman" w:cs="Times New Roman"/>
                      <w:color w:val="auto"/>
                      <w:highlight w:val="none"/>
                    </w:rPr>
                  </w:pPr>
                </w:p>
              </w:tc>
              <w:tc>
                <w:tcPr>
                  <w:tcW w:w="1821" w:type="dxa"/>
                  <w:shd w:val="clear" w:color="auto" w:fill="auto"/>
                  <w:vAlign w:val="center"/>
                </w:tcPr>
                <w:p w14:paraId="4782B513">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维护保养</w:t>
                  </w:r>
                </w:p>
              </w:tc>
              <w:tc>
                <w:tcPr>
                  <w:tcW w:w="1950" w:type="dxa"/>
                  <w:shd w:val="clear" w:color="auto" w:fill="auto"/>
                  <w:vAlign w:val="center"/>
                </w:tcPr>
                <w:p w14:paraId="23211431">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润滑油</w:t>
                  </w:r>
                </w:p>
              </w:tc>
              <w:tc>
                <w:tcPr>
                  <w:tcW w:w="2045" w:type="dxa"/>
                  <w:shd w:val="clear" w:color="auto" w:fill="auto"/>
                  <w:vAlign w:val="center"/>
                </w:tcPr>
                <w:p w14:paraId="0CDA368C">
                  <w:pPr>
                    <w:jc w:val="center"/>
                    <w:rPr>
                      <w:rFonts w:hint="default" w:cs="Times New Roman"/>
                      <w:color w:val="auto"/>
                      <w:highlight w:val="none"/>
                      <w:lang w:val="en-US" w:eastAsia="zh-CN"/>
                    </w:rPr>
                  </w:pPr>
                  <w:r>
                    <w:rPr>
                      <w:rFonts w:hint="eastAsia" w:cs="Times New Roman"/>
                      <w:color w:val="auto"/>
                      <w:highlight w:val="none"/>
                      <w:lang w:val="en-US" w:eastAsia="zh-CN"/>
                    </w:rPr>
                    <w:t>废润滑油</w:t>
                  </w:r>
                </w:p>
              </w:tc>
              <w:tc>
                <w:tcPr>
                  <w:tcW w:w="1443" w:type="dxa"/>
                  <w:vMerge w:val="continue"/>
                  <w:vAlign w:val="center"/>
                </w:tcPr>
                <w:p w14:paraId="19F1C19B">
                  <w:pPr>
                    <w:jc w:val="center"/>
                    <w:rPr>
                      <w:rFonts w:hint="default" w:ascii="Times New Roman" w:hAnsi="Times New Roman" w:cs="Times New Roman"/>
                      <w:color w:val="auto"/>
                      <w:highlight w:val="none"/>
                    </w:rPr>
                  </w:pPr>
                </w:p>
              </w:tc>
            </w:tr>
            <w:tr w14:paraId="6A16A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78" w:type="dxa"/>
                  <w:vMerge w:val="continue"/>
                  <w:vAlign w:val="center"/>
                </w:tcPr>
                <w:p w14:paraId="0B435BA0">
                  <w:pPr>
                    <w:jc w:val="center"/>
                    <w:rPr>
                      <w:rFonts w:hint="default" w:ascii="Times New Roman" w:hAnsi="Times New Roman" w:cs="Times New Roman"/>
                      <w:color w:val="auto"/>
                      <w:highlight w:val="none"/>
                    </w:rPr>
                  </w:pPr>
                </w:p>
              </w:tc>
              <w:tc>
                <w:tcPr>
                  <w:tcW w:w="1821" w:type="dxa"/>
                  <w:shd w:val="clear" w:color="auto" w:fill="auto"/>
                  <w:vAlign w:val="center"/>
                </w:tcPr>
                <w:p w14:paraId="0B892C9A">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员工生活</w:t>
                  </w:r>
                </w:p>
              </w:tc>
              <w:tc>
                <w:tcPr>
                  <w:tcW w:w="1950" w:type="dxa"/>
                  <w:shd w:val="clear" w:color="auto" w:fill="auto"/>
                  <w:vAlign w:val="center"/>
                </w:tcPr>
                <w:p w14:paraId="6E44B7AF">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生活垃圾</w:t>
                  </w:r>
                </w:p>
              </w:tc>
              <w:tc>
                <w:tcPr>
                  <w:tcW w:w="2045" w:type="dxa"/>
                  <w:shd w:val="clear" w:color="auto" w:fill="auto"/>
                  <w:vAlign w:val="center"/>
                </w:tcPr>
                <w:p w14:paraId="442FDE4C">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生活垃圾</w:t>
                  </w:r>
                </w:p>
              </w:tc>
              <w:tc>
                <w:tcPr>
                  <w:tcW w:w="1443" w:type="dxa"/>
                  <w:vAlign w:val="center"/>
                </w:tcPr>
                <w:p w14:paraId="1A488A89">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环卫部门清理</w:t>
                  </w:r>
                </w:p>
              </w:tc>
            </w:tr>
          </w:tbl>
          <w:p w14:paraId="341DF2A1">
            <w:pPr>
              <w:adjustRightInd w:val="0"/>
              <w:snapToGrid w:val="0"/>
              <w:spacing w:line="360" w:lineRule="auto"/>
              <w:ind w:firstLine="480" w:firstLineChars="200"/>
              <w:jc w:val="left"/>
              <w:rPr>
                <w:rFonts w:hint="default" w:ascii="Times New Roman" w:hAnsi="Times New Roman" w:cs="Times New Roman"/>
                <w:color w:val="auto"/>
                <w:sz w:val="24"/>
                <w:highlight w:val="none"/>
              </w:rPr>
            </w:pPr>
          </w:p>
        </w:tc>
      </w:tr>
      <w:tr w14:paraId="725F3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23" w:type="dxa"/>
            <w:vAlign w:val="center"/>
          </w:tcPr>
          <w:p w14:paraId="79DC05E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Cs/>
                <w:color w:val="auto"/>
                <w:sz w:val="24"/>
                <w:highlight w:val="none"/>
              </w:rPr>
              <w:t>与项目有关的原有环境污染问题</w:t>
            </w:r>
          </w:p>
        </w:tc>
        <w:tc>
          <w:tcPr>
            <w:tcW w:w="8561" w:type="dxa"/>
          </w:tcPr>
          <w:p w14:paraId="439836C2">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本项目为新建工程，厂房和相关辅助设施，由扬州经济开发区负责承建（见附件</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），验收合格后交给扬州德沪智能装备有限公司使用</w:t>
            </w:r>
            <w:r>
              <w:rPr>
                <w:rFonts w:hint="eastAsia" w:cs="Times New Roman"/>
                <w:color w:val="auto"/>
                <w:sz w:val="24"/>
                <w:highlight w:val="none"/>
                <w:lang w:eastAsia="zh-CN"/>
              </w:rPr>
              <w:t>。</w:t>
            </w:r>
          </w:p>
        </w:tc>
      </w:tr>
    </w:tbl>
    <w:p w14:paraId="6BC7F228">
      <w:pPr>
        <w:widowControl/>
        <w:jc w:val="center"/>
        <w:rPr>
          <w:rFonts w:hint="eastAsia" w:ascii="黑体" w:hAnsi="黑体" w:eastAsia="黑体"/>
          <w:snapToGrid w:val="0"/>
          <w:sz w:val="36"/>
          <w:szCs w:val="36"/>
        </w:rPr>
        <w:sectPr>
          <w:pgSz w:w="11906" w:h="16838"/>
          <w:pgMar w:top="1417" w:right="1531" w:bottom="1417" w:left="1531" w:header="1191" w:footer="1134" w:gutter="0"/>
          <w:cols w:space="720" w:num="1"/>
          <w:docGrid w:linePitch="312" w:charSpace="0"/>
        </w:sectPr>
      </w:pPr>
    </w:p>
    <w:p w14:paraId="624B1BB2">
      <w:pPr>
        <w:widowControl/>
        <w:jc w:val="center"/>
        <w:outlineLvl w:val="0"/>
        <w:rPr>
          <w:rFonts w:hint="eastAsia" w:ascii="黑体" w:hAnsi="黑体" w:eastAsia="黑体"/>
          <w:snapToGrid w:val="0"/>
          <w:sz w:val="30"/>
          <w:szCs w:val="30"/>
        </w:rPr>
      </w:pPr>
      <w:bookmarkStart w:id="25" w:name="_Toc22813"/>
      <w:bookmarkStart w:id="26" w:name="_Toc14307"/>
      <w:r>
        <w:rPr>
          <w:rFonts w:hint="eastAsia" w:ascii="黑体" w:hAnsi="黑体" w:eastAsia="黑体"/>
          <w:snapToGrid w:val="0"/>
          <w:sz w:val="30"/>
          <w:szCs w:val="30"/>
        </w:rPr>
        <w:t>三、区域环境质量现状、环境保护目标及评价标准</w:t>
      </w:r>
      <w:bookmarkEnd w:id="25"/>
      <w:bookmarkEnd w:id="26"/>
    </w:p>
    <w:tbl>
      <w:tblPr>
        <w:tblStyle w:val="13"/>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475"/>
      </w:tblGrid>
      <w:tr w14:paraId="52ECB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vAlign w:val="center"/>
          </w:tcPr>
          <w:p w14:paraId="7A4BA983">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区域</w:t>
            </w:r>
          </w:p>
          <w:p w14:paraId="34DF73DB">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环境</w:t>
            </w:r>
          </w:p>
          <w:p w14:paraId="701C459F">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质量</w:t>
            </w:r>
          </w:p>
          <w:p w14:paraId="08DC2DBD">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现状</w:t>
            </w:r>
          </w:p>
        </w:tc>
        <w:tc>
          <w:tcPr>
            <w:tcW w:w="8475" w:type="dxa"/>
            <w:vAlign w:val="center"/>
          </w:tcPr>
          <w:p w14:paraId="4954F38C">
            <w:pPr>
              <w:adjustRightInd w:val="0"/>
              <w:snapToGrid w:val="0"/>
              <w:spacing w:line="360" w:lineRule="auto"/>
              <w:ind w:firstLine="482" w:firstLineChars="200"/>
              <w:jc w:val="left"/>
              <w:rPr>
                <w:rFonts w:hint="default" w:ascii="Times New Roman" w:hAnsi="Times New Roman" w:cs="Times New Roman"/>
                <w:b/>
                <w:bCs/>
                <w:sz w:val="24"/>
              </w:rPr>
            </w:pPr>
            <w:r>
              <w:rPr>
                <w:rFonts w:hint="default" w:ascii="Times New Roman" w:hAnsi="Times New Roman" w:cs="Times New Roman"/>
                <w:b/>
                <w:bCs/>
                <w:sz w:val="24"/>
              </w:rPr>
              <w:t>1、大气环境质量现状</w:t>
            </w:r>
          </w:p>
          <w:p w14:paraId="455EBE4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w:t>
            </w:r>
            <w:r>
              <w:rPr>
                <w:rFonts w:hint="default" w:ascii="Times New Roman" w:hAnsi="Times New Roman" w:cs="Times New Roman"/>
                <w:color w:val="auto"/>
                <w:sz w:val="24"/>
              </w:rPr>
              <w:t>位于</w:t>
            </w:r>
            <w:r>
              <w:rPr>
                <w:rFonts w:hint="eastAsia" w:cs="Times New Roman"/>
                <w:color w:val="auto"/>
                <w:sz w:val="24"/>
                <w:lang w:val="en-US" w:eastAsia="zh-CN"/>
              </w:rPr>
              <w:t>江苏</w:t>
            </w:r>
            <w:r>
              <w:rPr>
                <w:rFonts w:hint="default" w:ascii="Times New Roman" w:hAnsi="Times New Roman" w:cs="Times New Roman"/>
                <w:color w:val="auto"/>
                <w:sz w:val="24"/>
              </w:rPr>
              <w:t>扬州市</w:t>
            </w:r>
            <w:r>
              <w:rPr>
                <w:rFonts w:hint="eastAsia" w:cs="Times New Roman"/>
                <w:color w:val="auto"/>
                <w:sz w:val="24"/>
                <w:lang w:val="en-US" w:eastAsia="zh-CN"/>
              </w:rPr>
              <w:t>扬州</w:t>
            </w:r>
            <w:r>
              <w:rPr>
                <w:rFonts w:hint="default" w:ascii="Times New Roman" w:hAnsi="Times New Roman" w:cs="Times New Roman"/>
                <w:color w:val="auto"/>
                <w:sz w:val="24"/>
              </w:rPr>
              <w:t>经济</w:t>
            </w:r>
            <w:r>
              <w:rPr>
                <w:rFonts w:hint="eastAsia" w:cs="Times New Roman"/>
                <w:color w:val="auto"/>
                <w:sz w:val="24"/>
                <w:lang w:val="en-US" w:eastAsia="zh-CN"/>
              </w:rPr>
              <w:t>技术</w:t>
            </w:r>
            <w:r>
              <w:rPr>
                <w:rFonts w:hint="default" w:ascii="Times New Roman" w:hAnsi="Times New Roman" w:cs="Times New Roman"/>
                <w:color w:val="auto"/>
                <w:sz w:val="24"/>
              </w:rPr>
              <w:t>开发区，</w:t>
            </w:r>
            <w:r>
              <w:rPr>
                <w:rFonts w:hint="default" w:ascii="Times New Roman" w:hAnsi="Times New Roman" w:cs="Times New Roman"/>
                <w:sz w:val="24"/>
              </w:rPr>
              <w:t>根据《202</w:t>
            </w:r>
            <w:r>
              <w:rPr>
                <w:rFonts w:hint="default" w:ascii="Times New Roman" w:hAnsi="Times New Roman" w:cs="Times New Roman"/>
                <w:sz w:val="24"/>
                <w:lang w:val="en-US" w:eastAsia="zh-CN"/>
              </w:rPr>
              <w:t>3</w:t>
            </w:r>
            <w:r>
              <w:rPr>
                <w:rFonts w:hint="default" w:ascii="Times New Roman" w:hAnsi="Times New Roman" w:cs="Times New Roman"/>
                <w:sz w:val="24"/>
              </w:rPr>
              <w:t>年扬州市年度环境质量公报》数据统计，202</w:t>
            </w:r>
            <w:r>
              <w:rPr>
                <w:rFonts w:hint="eastAsia" w:cs="Times New Roman"/>
                <w:sz w:val="24"/>
                <w:lang w:val="en-US" w:eastAsia="zh-CN"/>
              </w:rPr>
              <w:t>3</w:t>
            </w:r>
            <w:r>
              <w:rPr>
                <w:rFonts w:hint="default" w:ascii="Times New Roman" w:hAnsi="Times New Roman" w:cs="Times New Roman"/>
                <w:sz w:val="24"/>
              </w:rPr>
              <w:t>年扬州市环境空气污染物基本项目年均浓度见下表。</w:t>
            </w:r>
          </w:p>
          <w:p w14:paraId="45211C3D">
            <w:pPr>
              <w:jc w:val="center"/>
              <w:rPr>
                <w:rFonts w:hint="default" w:ascii="Times New Roman" w:hAnsi="Times New Roman" w:cs="Times New Roman"/>
                <w:b/>
                <w:bCs/>
                <w:sz w:val="24"/>
              </w:rPr>
            </w:pPr>
            <w:r>
              <w:rPr>
                <w:rFonts w:hint="default" w:ascii="Times New Roman" w:hAnsi="Times New Roman" w:cs="Times New Roman"/>
                <w:b/>
                <w:bCs/>
                <w:sz w:val="24"/>
              </w:rPr>
              <w:t>表3.1  区域空气质量现状评价表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108"/>
              <w:gridCol w:w="1059"/>
              <w:gridCol w:w="1060"/>
              <w:gridCol w:w="1060"/>
              <w:gridCol w:w="1061"/>
            </w:tblGrid>
            <w:tr w14:paraId="681BE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l2br w:val="nil"/>
                    <w:tr2bl w:val="nil"/>
                  </w:tcBorders>
                  <w:vAlign w:val="center"/>
                </w:tcPr>
                <w:p w14:paraId="77B4EEBD">
                  <w:pPr>
                    <w:adjustRightInd w:val="0"/>
                    <w:snapToGrid w:val="0"/>
                    <w:rPr>
                      <w:rFonts w:hint="default" w:ascii="Times New Roman" w:hAnsi="Times New Roman" w:cs="Times New Roman"/>
                      <w:b/>
                      <w:bCs/>
                    </w:rPr>
                  </w:pPr>
                  <w:r>
                    <w:rPr>
                      <w:rFonts w:hint="default" w:ascii="Times New Roman" w:hAnsi="Times New Roman" w:cs="Times New Roman"/>
                      <w:b/>
                      <w:bCs/>
                    </w:rPr>
                    <w:t>污染物</w:t>
                  </w:r>
                </w:p>
              </w:tc>
              <w:tc>
                <w:tcPr>
                  <w:tcW w:w="3066" w:type="dxa"/>
                  <w:tcBorders>
                    <w:tl2br w:val="nil"/>
                    <w:tr2bl w:val="nil"/>
                  </w:tcBorders>
                  <w:vAlign w:val="center"/>
                </w:tcPr>
                <w:p w14:paraId="61606B76">
                  <w:pPr>
                    <w:adjustRightInd w:val="0"/>
                    <w:snapToGrid w:val="0"/>
                    <w:jc w:val="center"/>
                    <w:rPr>
                      <w:rFonts w:hint="default" w:ascii="Times New Roman" w:hAnsi="Times New Roman" w:cs="Times New Roman"/>
                      <w:b/>
                      <w:bCs/>
                    </w:rPr>
                  </w:pPr>
                  <w:r>
                    <w:rPr>
                      <w:rFonts w:hint="default" w:ascii="Times New Roman" w:hAnsi="Times New Roman" w:cs="Times New Roman"/>
                      <w:b/>
                      <w:bCs/>
                    </w:rPr>
                    <w:t>年评价指标</w:t>
                  </w:r>
                </w:p>
              </w:tc>
              <w:tc>
                <w:tcPr>
                  <w:tcW w:w="1045" w:type="dxa"/>
                  <w:tcBorders>
                    <w:tl2br w:val="nil"/>
                    <w:tr2bl w:val="nil"/>
                  </w:tcBorders>
                  <w:vAlign w:val="center"/>
                </w:tcPr>
                <w:p w14:paraId="2DE2515F">
                  <w:pPr>
                    <w:adjustRightInd w:val="0"/>
                    <w:snapToGrid w:val="0"/>
                    <w:jc w:val="center"/>
                    <w:rPr>
                      <w:rFonts w:hint="default" w:ascii="Times New Roman" w:hAnsi="Times New Roman" w:cs="Times New Roman"/>
                      <w:b/>
                      <w:bCs/>
                    </w:rPr>
                  </w:pPr>
                  <w:r>
                    <w:rPr>
                      <w:rFonts w:hint="default" w:ascii="Times New Roman" w:hAnsi="Times New Roman" w:cs="Times New Roman"/>
                      <w:b/>
                      <w:bCs/>
                    </w:rPr>
                    <w:t>现状浓度μg/m</w:t>
                  </w:r>
                  <w:r>
                    <w:rPr>
                      <w:rFonts w:hint="default" w:ascii="Times New Roman" w:hAnsi="Times New Roman" w:cs="Times New Roman"/>
                      <w:b/>
                      <w:bCs/>
                      <w:vertAlign w:val="superscript"/>
                    </w:rPr>
                    <w:t>3</w:t>
                  </w:r>
                </w:p>
              </w:tc>
              <w:tc>
                <w:tcPr>
                  <w:tcW w:w="1046" w:type="dxa"/>
                  <w:tcBorders>
                    <w:tl2br w:val="nil"/>
                    <w:tr2bl w:val="nil"/>
                  </w:tcBorders>
                  <w:vAlign w:val="center"/>
                </w:tcPr>
                <w:p w14:paraId="27B78BBC">
                  <w:pPr>
                    <w:adjustRightInd w:val="0"/>
                    <w:snapToGrid w:val="0"/>
                    <w:jc w:val="center"/>
                    <w:rPr>
                      <w:rFonts w:hint="default" w:ascii="Times New Roman" w:hAnsi="Times New Roman" w:cs="Times New Roman"/>
                      <w:b/>
                      <w:bCs/>
                    </w:rPr>
                  </w:pPr>
                  <w:r>
                    <w:rPr>
                      <w:rFonts w:hint="default" w:ascii="Times New Roman" w:hAnsi="Times New Roman" w:cs="Times New Roman"/>
                      <w:b/>
                      <w:bCs/>
                    </w:rPr>
                    <w:t>标准值</w:t>
                  </w:r>
                </w:p>
                <w:p w14:paraId="759A991B">
                  <w:pPr>
                    <w:adjustRightInd w:val="0"/>
                    <w:snapToGrid w:val="0"/>
                    <w:jc w:val="center"/>
                    <w:rPr>
                      <w:rFonts w:hint="default" w:ascii="Times New Roman" w:hAnsi="Times New Roman" w:cs="Times New Roman"/>
                      <w:b/>
                      <w:bCs/>
                    </w:rPr>
                  </w:pPr>
                  <w:r>
                    <w:rPr>
                      <w:rFonts w:hint="default" w:ascii="Times New Roman" w:hAnsi="Times New Roman" w:cs="Times New Roman"/>
                      <w:b/>
                      <w:bCs/>
                    </w:rPr>
                    <w:t>μg/m</w:t>
                  </w:r>
                  <w:r>
                    <w:rPr>
                      <w:rFonts w:hint="default" w:ascii="Times New Roman" w:hAnsi="Times New Roman" w:cs="Times New Roman"/>
                      <w:b/>
                      <w:bCs/>
                      <w:vertAlign w:val="superscript"/>
                    </w:rPr>
                    <w:t>3</w:t>
                  </w:r>
                </w:p>
              </w:tc>
              <w:tc>
                <w:tcPr>
                  <w:tcW w:w="1046" w:type="dxa"/>
                  <w:tcBorders>
                    <w:tl2br w:val="nil"/>
                    <w:tr2bl w:val="nil"/>
                  </w:tcBorders>
                  <w:vAlign w:val="center"/>
                </w:tcPr>
                <w:p w14:paraId="204FA411">
                  <w:pPr>
                    <w:adjustRightInd w:val="0"/>
                    <w:snapToGrid w:val="0"/>
                    <w:jc w:val="center"/>
                    <w:rPr>
                      <w:rFonts w:hint="default" w:ascii="Times New Roman" w:hAnsi="Times New Roman" w:cs="Times New Roman"/>
                      <w:b/>
                      <w:bCs/>
                    </w:rPr>
                  </w:pPr>
                  <w:r>
                    <w:rPr>
                      <w:rFonts w:hint="default" w:ascii="Times New Roman" w:hAnsi="Times New Roman" w:cs="Times New Roman"/>
                      <w:b/>
                      <w:bCs/>
                    </w:rPr>
                    <w:t>占标率</w:t>
                  </w:r>
                </w:p>
                <w:p w14:paraId="237F880A">
                  <w:pPr>
                    <w:adjustRightInd w:val="0"/>
                    <w:snapToGrid w:val="0"/>
                    <w:jc w:val="center"/>
                    <w:rPr>
                      <w:rFonts w:hint="default" w:ascii="Times New Roman" w:hAnsi="Times New Roman" w:cs="Times New Roman"/>
                      <w:b/>
                      <w:bCs/>
                    </w:rPr>
                  </w:pPr>
                  <w:r>
                    <w:rPr>
                      <w:rFonts w:hint="default" w:ascii="Times New Roman" w:hAnsi="Times New Roman" w:cs="Times New Roman"/>
                      <w:b/>
                      <w:bCs/>
                    </w:rPr>
                    <w:t>%</w:t>
                  </w:r>
                </w:p>
              </w:tc>
              <w:tc>
                <w:tcPr>
                  <w:tcW w:w="1047" w:type="dxa"/>
                  <w:tcBorders>
                    <w:tl2br w:val="nil"/>
                    <w:tr2bl w:val="nil"/>
                  </w:tcBorders>
                  <w:vAlign w:val="center"/>
                </w:tcPr>
                <w:p w14:paraId="3180F32E">
                  <w:pPr>
                    <w:adjustRightInd w:val="0"/>
                    <w:snapToGrid w:val="0"/>
                    <w:rPr>
                      <w:rFonts w:hint="default" w:ascii="Times New Roman" w:hAnsi="Times New Roman" w:cs="Times New Roman"/>
                      <w:b/>
                      <w:bCs/>
                    </w:rPr>
                  </w:pPr>
                  <w:r>
                    <w:rPr>
                      <w:rFonts w:hint="default" w:ascii="Times New Roman" w:hAnsi="Times New Roman" w:cs="Times New Roman"/>
                      <w:b/>
                      <w:bCs/>
                    </w:rPr>
                    <w:t>达标情况</w:t>
                  </w:r>
                </w:p>
              </w:tc>
            </w:tr>
            <w:tr w14:paraId="4BEF5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vAlign w:val="center"/>
                </w:tcPr>
                <w:p w14:paraId="4C60BAA5">
                  <w:pPr>
                    <w:adjustRightInd w:val="0"/>
                    <w:snapToGrid w:val="0"/>
                    <w:jc w:val="center"/>
                    <w:rPr>
                      <w:rFonts w:hint="default" w:ascii="Times New Roman" w:hAnsi="Times New Roman" w:cs="Times New Roman"/>
                    </w:rPr>
                  </w:pPr>
                  <w:r>
                    <w:rPr>
                      <w:rFonts w:hint="default" w:ascii="Times New Roman" w:hAnsi="Times New Roman" w:cs="Times New Roman"/>
                    </w:rPr>
                    <w:t>SO</w:t>
                  </w:r>
                  <w:r>
                    <w:rPr>
                      <w:rFonts w:hint="default" w:ascii="Times New Roman" w:hAnsi="Times New Roman" w:cs="Times New Roman"/>
                      <w:vertAlign w:val="subscript"/>
                    </w:rPr>
                    <w:t>2</w:t>
                  </w:r>
                </w:p>
              </w:tc>
              <w:tc>
                <w:tcPr>
                  <w:tcW w:w="3066" w:type="dxa"/>
                  <w:tcBorders>
                    <w:tl2br w:val="nil"/>
                    <w:tr2bl w:val="nil"/>
                  </w:tcBorders>
                  <w:vAlign w:val="center"/>
                </w:tcPr>
                <w:p w14:paraId="7868C1D7">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年平均浓度</w:t>
                  </w:r>
                </w:p>
              </w:tc>
              <w:tc>
                <w:tcPr>
                  <w:tcW w:w="1045" w:type="dxa"/>
                  <w:tcBorders>
                    <w:tl2br w:val="nil"/>
                    <w:tr2bl w:val="nil"/>
                  </w:tcBorders>
                  <w:vAlign w:val="center"/>
                </w:tcPr>
                <w:p w14:paraId="2F0D8E47">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7</w:t>
                  </w:r>
                </w:p>
              </w:tc>
              <w:tc>
                <w:tcPr>
                  <w:tcW w:w="1046" w:type="dxa"/>
                  <w:tcBorders>
                    <w:tl2br w:val="nil"/>
                    <w:tr2bl w:val="nil"/>
                  </w:tcBorders>
                  <w:vAlign w:val="center"/>
                </w:tcPr>
                <w:p w14:paraId="26E00BAC">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60</w:t>
                  </w:r>
                </w:p>
              </w:tc>
              <w:tc>
                <w:tcPr>
                  <w:tcW w:w="1046" w:type="dxa"/>
                  <w:tcBorders>
                    <w:tl2br w:val="nil"/>
                    <w:tr2bl w:val="nil"/>
                  </w:tcBorders>
                  <w:vAlign w:val="center"/>
                </w:tcPr>
                <w:p w14:paraId="7EB0FF34">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11.7</w:t>
                  </w:r>
                </w:p>
              </w:tc>
              <w:tc>
                <w:tcPr>
                  <w:tcW w:w="1047" w:type="dxa"/>
                  <w:tcBorders>
                    <w:tl2br w:val="nil"/>
                    <w:tr2bl w:val="nil"/>
                  </w:tcBorders>
                  <w:vAlign w:val="center"/>
                </w:tcPr>
                <w:p w14:paraId="5DA1AB99">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达标</w:t>
                  </w:r>
                </w:p>
              </w:tc>
            </w:tr>
            <w:tr w14:paraId="20D71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vAlign w:val="center"/>
                </w:tcPr>
                <w:p w14:paraId="2C5C3BC1">
                  <w:pPr>
                    <w:adjustRightInd w:val="0"/>
                    <w:snapToGrid w:val="0"/>
                    <w:jc w:val="center"/>
                    <w:rPr>
                      <w:rFonts w:hint="default" w:ascii="Times New Roman" w:hAnsi="Times New Roman" w:cs="Times New Roman"/>
                    </w:rPr>
                  </w:pPr>
                  <w:r>
                    <w:rPr>
                      <w:rFonts w:hint="default" w:ascii="Times New Roman" w:hAnsi="Times New Roman" w:cs="Times New Roman"/>
                    </w:rPr>
                    <w:t>NO</w:t>
                  </w:r>
                  <w:r>
                    <w:rPr>
                      <w:rFonts w:hint="default" w:ascii="Times New Roman" w:hAnsi="Times New Roman" w:cs="Times New Roman"/>
                      <w:vertAlign w:val="subscript"/>
                    </w:rPr>
                    <w:t>2</w:t>
                  </w:r>
                </w:p>
              </w:tc>
              <w:tc>
                <w:tcPr>
                  <w:tcW w:w="3066" w:type="dxa"/>
                  <w:tcBorders>
                    <w:tl2br w:val="nil"/>
                    <w:tr2bl w:val="nil"/>
                  </w:tcBorders>
                  <w:vAlign w:val="center"/>
                </w:tcPr>
                <w:p w14:paraId="6D31EEE8">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年平均浓度</w:t>
                  </w:r>
                </w:p>
              </w:tc>
              <w:tc>
                <w:tcPr>
                  <w:tcW w:w="1045" w:type="dxa"/>
                  <w:tcBorders>
                    <w:tl2br w:val="nil"/>
                    <w:tr2bl w:val="nil"/>
                  </w:tcBorders>
                  <w:vAlign w:val="center"/>
                </w:tcPr>
                <w:p w14:paraId="0E2FDFB7">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31</w:t>
                  </w:r>
                </w:p>
              </w:tc>
              <w:tc>
                <w:tcPr>
                  <w:tcW w:w="1046" w:type="dxa"/>
                  <w:tcBorders>
                    <w:tl2br w:val="nil"/>
                    <w:tr2bl w:val="nil"/>
                  </w:tcBorders>
                  <w:vAlign w:val="center"/>
                </w:tcPr>
                <w:p w14:paraId="7EA67AED">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40</w:t>
                  </w:r>
                </w:p>
              </w:tc>
              <w:tc>
                <w:tcPr>
                  <w:tcW w:w="1046" w:type="dxa"/>
                  <w:tcBorders>
                    <w:tl2br w:val="nil"/>
                    <w:tr2bl w:val="nil"/>
                  </w:tcBorders>
                  <w:vAlign w:val="center"/>
                </w:tcPr>
                <w:p w14:paraId="11087E48">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77.5</w:t>
                  </w:r>
                </w:p>
              </w:tc>
              <w:tc>
                <w:tcPr>
                  <w:tcW w:w="1047" w:type="dxa"/>
                  <w:tcBorders>
                    <w:tl2br w:val="nil"/>
                    <w:tr2bl w:val="nil"/>
                  </w:tcBorders>
                  <w:vAlign w:val="center"/>
                </w:tcPr>
                <w:p w14:paraId="27F4F9FC">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达标</w:t>
                  </w:r>
                </w:p>
              </w:tc>
            </w:tr>
            <w:tr w14:paraId="57568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vAlign w:val="center"/>
                </w:tcPr>
                <w:p w14:paraId="52100DC5">
                  <w:pPr>
                    <w:adjustRightInd w:val="0"/>
                    <w:snapToGrid w:val="0"/>
                    <w:jc w:val="center"/>
                    <w:rPr>
                      <w:rFonts w:hint="default" w:ascii="Times New Roman" w:hAnsi="Times New Roman" w:cs="Times New Roman"/>
                    </w:rPr>
                  </w:pPr>
                  <w:r>
                    <w:rPr>
                      <w:rFonts w:hint="default" w:ascii="Times New Roman" w:hAnsi="Times New Roman" w:cs="Times New Roman"/>
                    </w:rPr>
                    <w:t>PM</w:t>
                  </w:r>
                  <w:r>
                    <w:rPr>
                      <w:rFonts w:hint="default" w:ascii="Times New Roman" w:hAnsi="Times New Roman" w:cs="Times New Roman"/>
                      <w:vertAlign w:val="subscript"/>
                    </w:rPr>
                    <w:t>10</w:t>
                  </w:r>
                </w:p>
              </w:tc>
              <w:tc>
                <w:tcPr>
                  <w:tcW w:w="3066" w:type="dxa"/>
                  <w:tcBorders>
                    <w:tl2br w:val="nil"/>
                    <w:tr2bl w:val="nil"/>
                  </w:tcBorders>
                  <w:vAlign w:val="center"/>
                </w:tcPr>
                <w:p w14:paraId="5930F2AA">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年平均浓度</w:t>
                  </w:r>
                </w:p>
              </w:tc>
              <w:tc>
                <w:tcPr>
                  <w:tcW w:w="1045" w:type="dxa"/>
                  <w:tcBorders>
                    <w:tl2br w:val="nil"/>
                    <w:tr2bl w:val="nil"/>
                  </w:tcBorders>
                  <w:vAlign w:val="center"/>
                </w:tcPr>
                <w:p w14:paraId="4248E2C4">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59</w:t>
                  </w:r>
                </w:p>
              </w:tc>
              <w:tc>
                <w:tcPr>
                  <w:tcW w:w="1046" w:type="dxa"/>
                  <w:tcBorders>
                    <w:tl2br w:val="nil"/>
                    <w:tr2bl w:val="nil"/>
                  </w:tcBorders>
                  <w:vAlign w:val="center"/>
                </w:tcPr>
                <w:p w14:paraId="3A275BBD">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70</w:t>
                  </w:r>
                </w:p>
              </w:tc>
              <w:tc>
                <w:tcPr>
                  <w:tcW w:w="1046" w:type="dxa"/>
                  <w:tcBorders>
                    <w:tl2br w:val="nil"/>
                    <w:tr2bl w:val="nil"/>
                  </w:tcBorders>
                  <w:vAlign w:val="center"/>
                </w:tcPr>
                <w:p w14:paraId="774C850D">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84.3</w:t>
                  </w:r>
                </w:p>
              </w:tc>
              <w:tc>
                <w:tcPr>
                  <w:tcW w:w="1047" w:type="dxa"/>
                  <w:tcBorders>
                    <w:tl2br w:val="nil"/>
                    <w:tr2bl w:val="nil"/>
                  </w:tcBorders>
                  <w:vAlign w:val="center"/>
                </w:tcPr>
                <w:p w14:paraId="39A3B84D">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达标</w:t>
                  </w:r>
                </w:p>
              </w:tc>
            </w:tr>
            <w:tr w14:paraId="0DF84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vAlign w:val="center"/>
                </w:tcPr>
                <w:p w14:paraId="282AE1E6">
                  <w:pPr>
                    <w:adjustRightInd w:val="0"/>
                    <w:snapToGrid w:val="0"/>
                    <w:jc w:val="center"/>
                    <w:rPr>
                      <w:rFonts w:hint="default" w:ascii="Times New Roman" w:hAnsi="Times New Roman" w:cs="Times New Roman"/>
                    </w:rPr>
                  </w:pPr>
                  <w:r>
                    <w:rPr>
                      <w:rFonts w:hint="default" w:ascii="Times New Roman" w:hAnsi="Times New Roman" w:cs="Times New Roman"/>
                    </w:rPr>
                    <w:t>PM</w:t>
                  </w:r>
                  <w:r>
                    <w:rPr>
                      <w:rFonts w:hint="default" w:ascii="Times New Roman" w:hAnsi="Times New Roman" w:cs="Times New Roman"/>
                      <w:vertAlign w:val="subscript"/>
                    </w:rPr>
                    <w:t>2.5</w:t>
                  </w:r>
                </w:p>
              </w:tc>
              <w:tc>
                <w:tcPr>
                  <w:tcW w:w="3066" w:type="dxa"/>
                  <w:tcBorders>
                    <w:tl2br w:val="nil"/>
                    <w:tr2bl w:val="nil"/>
                  </w:tcBorders>
                  <w:vAlign w:val="center"/>
                </w:tcPr>
                <w:p w14:paraId="184EC097">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年平均浓度</w:t>
                  </w:r>
                </w:p>
              </w:tc>
              <w:tc>
                <w:tcPr>
                  <w:tcW w:w="1045" w:type="dxa"/>
                  <w:tcBorders>
                    <w:tl2br w:val="nil"/>
                    <w:tr2bl w:val="nil"/>
                  </w:tcBorders>
                  <w:vAlign w:val="center"/>
                </w:tcPr>
                <w:p w14:paraId="1C69F671">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34</w:t>
                  </w:r>
                </w:p>
              </w:tc>
              <w:tc>
                <w:tcPr>
                  <w:tcW w:w="1046" w:type="dxa"/>
                  <w:tcBorders>
                    <w:tl2br w:val="nil"/>
                    <w:tr2bl w:val="nil"/>
                  </w:tcBorders>
                  <w:vAlign w:val="center"/>
                </w:tcPr>
                <w:p w14:paraId="7C02AE4E">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35</w:t>
                  </w:r>
                </w:p>
              </w:tc>
              <w:tc>
                <w:tcPr>
                  <w:tcW w:w="1046" w:type="dxa"/>
                  <w:tcBorders>
                    <w:tl2br w:val="nil"/>
                    <w:tr2bl w:val="nil"/>
                  </w:tcBorders>
                  <w:vAlign w:val="center"/>
                </w:tcPr>
                <w:p w14:paraId="7A1EFC47">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97.1</w:t>
                  </w:r>
                </w:p>
              </w:tc>
              <w:tc>
                <w:tcPr>
                  <w:tcW w:w="1047" w:type="dxa"/>
                  <w:tcBorders>
                    <w:tl2br w:val="nil"/>
                    <w:tr2bl w:val="nil"/>
                  </w:tcBorders>
                  <w:vAlign w:val="center"/>
                </w:tcPr>
                <w:p w14:paraId="7C5579BC">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达标</w:t>
                  </w:r>
                </w:p>
              </w:tc>
            </w:tr>
            <w:tr w14:paraId="5BDDA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vAlign w:val="center"/>
                </w:tcPr>
                <w:p w14:paraId="363F2388">
                  <w:pPr>
                    <w:adjustRightInd w:val="0"/>
                    <w:snapToGrid w:val="0"/>
                    <w:jc w:val="center"/>
                    <w:rPr>
                      <w:rFonts w:hint="default" w:ascii="Times New Roman" w:hAnsi="Times New Roman" w:cs="Times New Roman"/>
                    </w:rPr>
                  </w:pPr>
                  <w:r>
                    <w:rPr>
                      <w:rFonts w:hint="default" w:ascii="Times New Roman" w:hAnsi="Times New Roman" w:cs="Times New Roman"/>
                    </w:rPr>
                    <w:t>CO</w:t>
                  </w:r>
                </w:p>
              </w:tc>
              <w:tc>
                <w:tcPr>
                  <w:tcW w:w="3066" w:type="dxa"/>
                  <w:tcBorders>
                    <w:tl2br w:val="nil"/>
                    <w:tr2bl w:val="nil"/>
                  </w:tcBorders>
                  <w:vAlign w:val="center"/>
                </w:tcPr>
                <w:p w14:paraId="764FFDE1">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24h平均第95百分位数</w:t>
                  </w:r>
                </w:p>
              </w:tc>
              <w:tc>
                <w:tcPr>
                  <w:tcW w:w="1045" w:type="dxa"/>
                  <w:tcBorders>
                    <w:tl2br w:val="nil"/>
                    <w:tr2bl w:val="nil"/>
                  </w:tcBorders>
                  <w:vAlign w:val="center"/>
                </w:tcPr>
                <w:p w14:paraId="1A670668">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1</w:t>
                  </w:r>
                </w:p>
              </w:tc>
              <w:tc>
                <w:tcPr>
                  <w:tcW w:w="1046" w:type="dxa"/>
                  <w:tcBorders>
                    <w:tl2br w:val="nil"/>
                    <w:tr2bl w:val="nil"/>
                  </w:tcBorders>
                  <w:vAlign w:val="center"/>
                </w:tcPr>
                <w:p w14:paraId="263CE037">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4</w:t>
                  </w:r>
                </w:p>
              </w:tc>
              <w:tc>
                <w:tcPr>
                  <w:tcW w:w="1046" w:type="dxa"/>
                  <w:tcBorders>
                    <w:tl2br w:val="nil"/>
                    <w:tr2bl w:val="nil"/>
                  </w:tcBorders>
                  <w:vAlign w:val="center"/>
                </w:tcPr>
                <w:p w14:paraId="63826F9F">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25</w:t>
                  </w:r>
                </w:p>
              </w:tc>
              <w:tc>
                <w:tcPr>
                  <w:tcW w:w="1047" w:type="dxa"/>
                  <w:tcBorders>
                    <w:tl2br w:val="nil"/>
                    <w:tr2bl w:val="nil"/>
                  </w:tcBorders>
                  <w:vAlign w:val="center"/>
                </w:tcPr>
                <w:p w14:paraId="6EA1476B">
                  <w:pPr>
                    <w:tabs>
                      <w:tab w:val="left" w:pos="1965"/>
                    </w:tabs>
                    <w:adjustRightInd w:val="0"/>
                    <w:snapToGrid w:val="0"/>
                    <w:jc w:val="center"/>
                    <w:rPr>
                      <w:rFonts w:hint="default" w:ascii="Times New Roman" w:hAnsi="Times New Roman" w:cs="Times New Roman"/>
                    </w:rPr>
                  </w:pPr>
                  <w:r>
                    <w:rPr>
                      <w:rFonts w:hint="default" w:ascii="Times New Roman" w:hAnsi="Times New Roman" w:cs="Times New Roman"/>
                    </w:rPr>
                    <w:t>达标</w:t>
                  </w:r>
                </w:p>
              </w:tc>
            </w:tr>
            <w:tr w14:paraId="2187C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vAlign w:val="center"/>
                </w:tcPr>
                <w:p w14:paraId="6A5BBDBE">
                  <w:pPr>
                    <w:adjustRightInd w:val="0"/>
                    <w:snapToGrid w:val="0"/>
                    <w:jc w:val="center"/>
                    <w:rPr>
                      <w:rFonts w:hint="default" w:ascii="Times New Roman" w:hAnsi="Times New Roman" w:cs="Times New Roman"/>
                    </w:rPr>
                  </w:pPr>
                  <w:r>
                    <w:rPr>
                      <w:rFonts w:hint="default" w:ascii="Times New Roman" w:hAnsi="Times New Roman" w:cs="Times New Roman"/>
                    </w:rPr>
                    <w:t>O</w:t>
                  </w:r>
                  <w:r>
                    <w:rPr>
                      <w:rFonts w:hint="default" w:ascii="Times New Roman" w:hAnsi="Times New Roman" w:cs="Times New Roman"/>
                      <w:vertAlign w:val="subscript"/>
                    </w:rPr>
                    <w:t>3</w:t>
                  </w:r>
                </w:p>
              </w:tc>
              <w:tc>
                <w:tcPr>
                  <w:tcW w:w="3066" w:type="dxa"/>
                  <w:tcBorders>
                    <w:tl2br w:val="nil"/>
                    <w:tr2bl w:val="nil"/>
                  </w:tcBorders>
                  <w:vAlign w:val="center"/>
                </w:tcPr>
                <w:p w14:paraId="6150D7A5">
                  <w:pPr>
                    <w:tabs>
                      <w:tab w:val="left" w:pos="1965"/>
                    </w:tabs>
                    <w:adjustRightInd w:val="0"/>
                    <w:snapToGrid w:val="0"/>
                    <w:rPr>
                      <w:rFonts w:hint="default" w:ascii="Times New Roman" w:hAnsi="Times New Roman" w:cs="Times New Roman"/>
                    </w:rPr>
                  </w:pPr>
                  <w:r>
                    <w:rPr>
                      <w:rFonts w:hint="default" w:ascii="Times New Roman" w:hAnsi="Times New Roman" w:cs="Times New Roman"/>
                    </w:rPr>
                    <w:t>最大8h平均浓度第90百分位数</w:t>
                  </w:r>
                </w:p>
              </w:tc>
              <w:tc>
                <w:tcPr>
                  <w:tcW w:w="1045" w:type="dxa"/>
                  <w:tcBorders>
                    <w:tl2br w:val="nil"/>
                    <w:tr2bl w:val="nil"/>
                  </w:tcBorders>
                  <w:vAlign w:val="center"/>
                </w:tcPr>
                <w:p w14:paraId="4CE199C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170</w:t>
                  </w:r>
                </w:p>
              </w:tc>
              <w:tc>
                <w:tcPr>
                  <w:tcW w:w="1046" w:type="dxa"/>
                  <w:tcBorders>
                    <w:tl2br w:val="nil"/>
                    <w:tr2bl w:val="nil"/>
                  </w:tcBorders>
                  <w:vAlign w:val="center"/>
                </w:tcPr>
                <w:p w14:paraId="7DC5AEA0">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cs="Times New Roman"/>
                      <w:color w:val="auto"/>
                      <w:lang w:val="en-US" w:eastAsia="zh-CN"/>
                    </w:rPr>
                    <w:t>160</w:t>
                  </w:r>
                </w:p>
              </w:tc>
              <w:tc>
                <w:tcPr>
                  <w:tcW w:w="1046" w:type="dxa"/>
                  <w:tcBorders>
                    <w:tl2br w:val="nil"/>
                    <w:tr2bl w:val="nil"/>
                  </w:tcBorders>
                  <w:vAlign w:val="center"/>
                </w:tcPr>
                <w:p w14:paraId="4EBA3A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rPr>
                  </w:pPr>
                  <w:r>
                    <w:rPr>
                      <w:rFonts w:hint="default" w:ascii="Times New Roman" w:hAnsi="Times New Roman" w:eastAsia="宋体" w:cs="Times New Roman"/>
                      <w:b w:val="0"/>
                      <w:bCs w:val="0"/>
                      <w:color w:val="auto"/>
                      <w:kern w:val="0"/>
                      <w:sz w:val="21"/>
                      <w:szCs w:val="21"/>
                      <w:highlight w:val="none"/>
                      <w:lang w:val="en-US" w:eastAsia="zh-CN"/>
                    </w:rPr>
                    <w:t>106.3</w:t>
                  </w:r>
                </w:p>
              </w:tc>
              <w:tc>
                <w:tcPr>
                  <w:tcW w:w="1047" w:type="dxa"/>
                  <w:tcBorders>
                    <w:tl2br w:val="nil"/>
                    <w:tr2bl w:val="nil"/>
                  </w:tcBorders>
                  <w:vAlign w:val="center"/>
                </w:tcPr>
                <w:p w14:paraId="1B8C5634">
                  <w:pPr>
                    <w:autoSpaceDE w:val="0"/>
                    <w:autoSpaceDN w:val="0"/>
                    <w:adjustRightInd w:val="0"/>
                    <w:snapToGrid w:val="0"/>
                    <w:jc w:val="center"/>
                    <w:rPr>
                      <w:rFonts w:hint="default" w:ascii="Times New Roman" w:hAnsi="Times New Roman" w:cs="Times New Roman"/>
                    </w:rPr>
                  </w:pPr>
                  <w:r>
                    <w:rPr>
                      <w:rFonts w:hint="default" w:ascii="Times New Roman" w:hAnsi="Times New Roman" w:cs="Times New Roman"/>
                    </w:rPr>
                    <w:t>不达标</w:t>
                  </w:r>
                </w:p>
              </w:tc>
            </w:tr>
          </w:tbl>
          <w:p w14:paraId="4865D86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根据《环境影响评价技术导则 大气环境》（HJ2.2-2018）的要求，城市环境空气质量达标情况指标为 SO</w:t>
            </w:r>
            <w:r>
              <w:rPr>
                <w:rFonts w:hint="default" w:ascii="Times New Roman" w:hAnsi="Times New Roman" w:cs="Times New Roman"/>
                <w:sz w:val="24"/>
                <w:vertAlign w:val="subscript"/>
              </w:rPr>
              <w:t>2</w:t>
            </w:r>
            <w:r>
              <w:rPr>
                <w:rFonts w:hint="default" w:ascii="Times New Roman" w:hAnsi="Times New Roman" w:cs="Times New Roman"/>
                <w:sz w:val="24"/>
              </w:rPr>
              <w:t>、NO</w:t>
            </w:r>
            <w:r>
              <w:rPr>
                <w:rFonts w:hint="default" w:ascii="Times New Roman" w:hAnsi="Times New Roman" w:cs="Times New Roman"/>
                <w:sz w:val="24"/>
                <w:vertAlign w:val="subscript"/>
              </w:rPr>
              <w:t>2</w:t>
            </w:r>
            <w:r>
              <w:rPr>
                <w:rFonts w:hint="default" w:ascii="Times New Roman" w:hAnsi="Times New Roman" w:cs="Times New Roman"/>
                <w:sz w:val="24"/>
              </w:rPr>
              <w:t>、PM</w:t>
            </w:r>
            <w:r>
              <w:rPr>
                <w:rFonts w:hint="default" w:ascii="Times New Roman" w:hAnsi="Times New Roman" w:cs="Times New Roman"/>
                <w:sz w:val="24"/>
                <w:vertAlign w:val="subscript"/>
              </w:rPr>
              <w:t>10</w:t>
            </w:r>
            <w:r>
              <w:rPr>
                <w:rFonts w:hint="default" w:ascii="Times New Roman" w:hAnsi="Times New Roman" w:cs="Times New Roman"/>
                <w:sz w:val="24"/>
              </w:rPr>
              <w:t>、PM</w:t>
            </w:r>
            <w:r>
              <w:rPr>
                <w:rFonts w:hint="default" w:ascii="Times New Roman" w:hAnsi="Times New Roman" w:cs="Times New Roman"/>
                <w:sz w:val="24"/>
                <w:vertAlign w:val="subscript"/>
              </w:rPr>
              <w:t>2.5</w:t>
            </w:r>
            <w:r>
              <w:rPr>
                <w:rFonts w:hint="default" w:ascii="Times New Roman" w:hAnsi="Times New Roman" w:cs="Times New Roman"/>
                <w:sz w:val="24"/>
              </w:rPr>
              <w:t>、CO和O</w:t>
            </w:r>
            <w:r>
              <w:rPr>
                <w:rFonts w:hint="default" w:ascii="Times New Roman" w:hAnsi="Times New Roman" w:cs="Times New Roman"/>
                <w:sz w:val="24"/>
                <w:vertAlign w:val="subscript"/>
              </w:rPr>
              <w:t>3</w:t>
            </w:r>
            <w:r>
              <w:rPr>
                <w:rFonts w:hint="default" w:ascii="Times New Roman" w:hAnsi="Times New Roman" w:cs="Times New Roman"/>
                <w:sz w:val="24"/>
              </w:rPr>
              <w:t>，六项污染物全部达标即为城市环境空气质量达标，由上表可判定项目所在区域为环境空气质量不达标区，不达标因子为O</w:t>
            </w:r>
            <w:r>
              <w:rPr>
                <w:rFonts w:hint="default" w:ascii="Times New Roman" w:hAnsi="Times New Roman" w:cs="Times New Roman"/>
                <w:sz w:val="24"/>
                <w:vertAlign w:val="subscript"/>
              </w:rPr>
              <w:t>3</w:t>
            </w:r>
            <w:r>
              <w:rPr>
                <w:rFonts w:hint="default" w:ascii="Times New Roman" w:hAnsi="Times New Roman" w:cs="Times New Roman"/>
                <w:sz w:val="24"/>
              </w:rPr>
              <w:t>。</w:t>
            </w:r>
          </w:p>
          <w:p w14:paraId="26AE6E67">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大气不达标区改善措施主要为：①调整优化产业结构，推进产业绿色发展；②加快调整能源结构，构建清洁低碳高效能源体系；③积极调整运输结构，发展绿色交通体系；④优化调整用地结构，推进面源污染治理；⑤实施重大专项行动，大幅降低污染物排放；⑥强化区域联防联控，有效应对重污染天气。⑦健全法律法规体系，完善环境经济政策；⑧加强基础能力建设，严格环境执法督察；⑨明确落实各方责任，动员全社会广泛参与。待各项措施落实到位后，本区域大气环境质量将逐步改善。</w:t>
            </w:r>
          </w:p>
          <w:p w14:paraId="53DC5940">
            <w:pPr>
              <w:adjustRightInd w:val="0"/>
              <w:snapToGrid w:val="0"/>
              <w:spacing w:line="360" w:lineRule="auto"/>
              <w:ind w:firstLine="482" w:firstLineChars="200"/>
              <w:rPr>
                <w:rFonts w:hint="default" w:ascii="Times New Roman" w:hAnsi="Times New Roman" w:cs="Times New Roman"/>
                <w:kern w:val="0"/>
                <w:sz w:val="24"/>
                <w:lang w:bidi="ar"/>
              </w:rPr>
            </w:pPr>
            <w:r>
              <w:rPr>
                <w:rFonts w:hint="default" w:ascii="Times New Roman" w:hAnsi="Times New Roman" w:cs="Times New Roman"/>
                <w:b/>
                <w:sz w:val="24"/>
              </w:rPr>
              <w:t>2、地表水环境质量</w:t>
            </w:r>
          </w:p>
          <w:p w14:paraId="42A6258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根据《202</w:t>
            </w:r>
            <w:r>
              <w:rPr>
                <w:rFonts w:hint="default" w:ascii="Times New Roman" w:hAnsi="Times New Roman" w:cs="Times New Roman"/>
                <w:sz w:val="24"/>
                <w:lang w:val="en-US" w:eastAsia="zh-CN"/>
              </w:rPr>
              <w:t>3</w:t>
            </w:r>
            <w:r>
              <w:rPr>
                <w:rFonts w:hint="default" w:ascii="Times New Roman" w:hAnsi="Times New Roman" w:cs="Times New Roman"/>
                <w:sz w:val="24"/>
              </w:rPr>
              <w:t>年扬州市年度环境质量公报》数据显示，202</w:t>
            </w:r>
            <w:r>
              <w:rPr>
                <w:rFonts w:hint="default" w:ascii="Times New Roman" w:hAnsi="Times New Roman" w:cs="Times New Roman"/>
                <w:sz w:val="24"/>
                <w:lang w:val="en-US" w:eastAsia="zh-CN"/>
              </w:rPr>
              <w:t>3</w:t>
            </w:r>
            <w:r>
              <w:rPr>
                <w:rFonts w:hint="default" w:ascii="Times New Roman" w:hAnsi="Times New Roman" w:cs="Times New Roman"/>
                <w:sz w:val="24"/>
              </w:rPr>
              <w:t>年，23年，长江扬州段、京杭运河扬州段总体水质为Ⅱ类，仪扬河、北澄子河、新通扬运河、三阳河总体水质为Ⅲ类。宝应湖总体水质为Ⅲ类，高邮湖、邵伯湖总体水质为Ⅳ类。</w:t>
            </w:r>
          </w:p>
          <w:p w14:paraId="11DA5DD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15个国考断面优Ⅲ类比例为86.7%、无劣Ⅴ类水体，符合考核标准；47个省考及以上断面水质优Ⅲ类比例为95.7%、无劣Ⅴ类断面，符合考核标准。</w:t>
            </w:r>
          </w:p>
          <w:p w14:paraId="64BCE39B">
            <w:pPr>
              <w:adjustRightInd w:val="0"/>
              <w:snapToGrid w:val="0"/>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本项目废水接管至六圩污水处理厂</w:t>
            </w:r>
            <w:r>
              <w:rPr>
                <w:rFonts w:hint="default" w:ascii="Times New Roman" w:hAnsi="Times New Roman" w:eastAsia="宋体" w:cs="Times New Roman"/>
                <w:color w:val="auto"/>
                <w:kern w:val="0"/>
                <w:sz w:val="24"/>
                <w:szCs w:val="24"/>
                <w:lang w:val="en-US" w:eastAsia="zh-CN" w:bidi="ar"/>
              </w:rPr>
              <w:t>，纳污河流为京杭大运河扬州段（施桥船闸下游），京杭运河扬州段水质</w:t>
            </w:r>
            <w:r>
              <w:rPr>
                <w:rFonts w:hint="default" w:ascii="Times New Roman" w:hAnsi="Times New Roman" w:cs="Times New Roman"/>
                <w:color w:val="auto"/>
                <w:kern w:val="0"/>
                <w:sz w:val="24"/>
                <w:szCs w:val="24"/>
                <w:lang w:val="en-US" w:eastAsia="zh-CN" w:bidi="ar"/>
              </w:rPr>
              <w:t>总体水质为</w:t>
            </w:r>
            <w:r>
              <w:rPr>
                <w:rFonts w:hint="default" w:ascii="Times New Roman" w:hAnsi="Times New Roman" w:cs="Times New Roman"/>
                <w:i w:val="0"/>
                <w:iCs w:val="0"/>
                <w:caps w:val="0"/>
                <w:color w:val="auto"/>
                <w:spacing w:val="0"/>
                <w:sz w:val="24"/>
                <w:szCs w:val="24"/>
                <w:shd w:val="clear" w:fill="FFFFFF"/>
              </w:rPr>
              <w:t>Ⅱ</w:t>
            </w:r>
            <w:r>
              <w:rPr>
                <w:rFonts w:hint="default" w:ascii="Times New Roman" w:hAnsi="Times New Roman" w:eastAsia="宋体" w:cs="Times New Roman"/>
                <w:color w:val="auto"/>
                <w:kern w:val="0"/>
                <w:sz w:val="24"/>
                <w:szCs w:val="24"/>
                <w:lang w:val="en-US" w:eastAsia="zh-CN" w:bidi="ar"/>
              </w:rPr>
              <w:t>类</w:t>
            </w:r>
            <w:r>
              <w:rPr>
                <w:rFonts w:hint="default" w:ascii="Times New Roman" w:hAnsi="Times New Roman" w:cs="Times New Roman"/>
                <w:color w:val="auto"/>
                <w:kern w:val="0"/>
                <w:sz w:val="24"/>
                <w:szCs w:val="24"/>
                <w:lang w:val="en-US" w:eastAsia="zh-CN" w:bidi="ar"/>
              </w:rPr>
              <w:t>。</w:t>
            </w:r>
          </w:p>
          <w:p w14:paraId="44183AF1">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3、声环境质量现状</w:t>
            </w:r>
          </w:p>
          <w:p w14:paraId="37F8D62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本项目厂界外周边50m范围内无声环境保护目标。</w:t>
            </w:r>
          </w:p>
          <w:p w14:paraId="55A9ADDE">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4、生态环境</w:t>
            </w:r>
          </w:p>
          <w:p w14:paraId="6D9ACC4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本项目租赁现有厂房，不新增用地，位于扬州经济技术开发区内，无生态环境保护目标。</w:t>
            </w:r>
          </w:p>
          <w:p w14:paraId="0A16FF37">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5、电磁辐射</w:t>
            </w:r>
          </w:p>
          <w:p w14:paraId="61DA0C5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本项目不涉及电磁辐射。</w:t>
            </w:r>
          </w:p>
          <w:p w14:paraId="160D5810">
            <w:pPr>
              <w:adjustRightInd w:val="0"/>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6、地下水、土壤环境</w:t>
            </w:r>
          </w:p>
          <w:p w14:paraId="0A179225">
            <w:pPr>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rPr>
              <w:t>根据《建设项目环境影响报告表编制技术指南(污染影响类)(试行)》“地下水、土壤环境。原则上不开展环境质量现状调查”，且本项目在做好相应的环保措施后不存在土壤、地下水环境污染途径。因此无需开展地下水、土壤环境现状调查。</w:t>
            </w:r>
          </w:p>
        </w:tc>
      </w:tr>
      <w:tr w14:paraId="4FDDE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vAlign w:val="center"/>
          </w:tcPr>
          <w:p w14:paraId="22677FDC">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环境</w:t>
            </w:r>
          </w:p>
          <w:p w14:paraId="608A3883">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保护</w:t>
            </w:r>
          </w:p>
          <w:p w14:paraId="2AA66B42">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目标</w:t>
            </w:r>
          </w:p>
        </w:tc>
        <w:tc>
          <w:tcPr>
            <w:tcW w:w="8475" w:type="dxa"/>
            <w:vAlign w:val="center"/>
          </w:tcPr>
          <w:p w14:paraId="6ABAC7AA">
            <w:pPr>
              <w:pStyle w:val="6"/>
              <w:ind w:firstLine="482" w:firstLineChars="200"/>
              <w:rPr>
                <w:rFonts w:hint="default" w:ascii="Times New Roman" w:hAnsi="Times New Roman" w:eastAsia="宋体" w:cs="Times New Roman"/>
              </w:rPr>
            </w:pPr>
            <w:r>
              <w:rPr>
                <w:rFonts w:hint="default" w:ascii="Times New Roman" w:hAnsi="Times New Roman" w:eastAsia="宋体" w:cs="Times New Roman"/>
              </w:rPr>
              <w:t>1、大气环境</w:t>
            </w:r>
          </w:p>
          <w:p w14:paraId="39A52B8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本项目位于扬州经济技术开发区，厂界外500m范围内大气环境敏感目标，见下表。</w:t>
            </w:r>
          </w:p>
          <w:p w14:paraId="250D8F35">
            <w:pPr>
              <w:jc w:val="center"/>
              <w:rPr>
                <w:rFonts w:hint="default" w:ascii="Times New Roman" w:hAnsi="Times New Roman" w:cs="Times New Roman"/>
                <w:b/>
                <w:bCs/>
                <w:sz w:val="24"/>
              </w:rPr>
            </w:pPr>
            <w:r>
              <w:rPr>
                <w:rFonts w:hint="default" w:ascii="Times New Roman" w:hAnsi="Times New Roman" w:cs="Times New Roman"/>
                <w:b/>
                <w:bCs/>
                <w:sz w:val="24"/>
              </w:rPr>
              <w:t>表3.1  主要环境保护目标一览表（环境空气）</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57"/>
              <w:gridCol w:w="1174"/>
              <w:gridCol w:w="810"/>
              <w:gridCol w:w="2250"/>
              <w:gridCol w:w="929"/>
              <w:gridCol w:w="1070"/>
            </w:tblGrid>
            <w:tr w14:paraId="47058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9" w:type="pct"/>
                  <w:vMerge w:val="restart"/>
                  <w:tcBorders>
                    <w:tl2br w:val="nil"/>
                    <w:tr2bl w:val="nil"/>
                  </w:tcBorders>
                  <w:vAlign w:val="center"/>
                </w:tcPr>
                <w:p w14:paraId="408BD988">
                  <w:pPr>
                    <w:pStyle w:val="20"/>
                    <w:widowControl/>
                    <w:spacing w:beforeLines="0" w:afterLines="0"/>
                    <w:rPr>
                      <w:rFonts w:hint="default" w:ascii="Times New Roman" w:hAnsi="Times New Roman" w:cs="Times New Roman"/>
                      <w:szCs w:val="21"/>
                    </w:rPr>
                  </w:pPr>
                  <w:r>
                    <w:rPr>
                      <w:rFonts w:hint="default" w:ascii="Times New Roman" w:hAnsi="Times New Roman" w:cs="Times New Roman"/>
                      <w:b/>
                      <w:bCs/>
                      <w:szCs w:val="21"/>
                    </w:rPr>
                    <w:t>名称</w:t>
                  </w:r>
                </w:p>
              </w:tc>
              <w:tc>
                <w:tcPr>
                  <w:tcW w:w="1476" w:type="pct"/>
                  <w:gridSpan w:val="2"/>
                  <w:tcBorders>
                    <w:tl2br w:val="nil"/>
                    <w:tr2bl w:val="nil"/>
                  </w:tcBorders>
                  <w:vAlign w:val="center"/>
                </w:tcPr>
                <w:p w14:paraId="74D2DE67">
                  <w:pPr>
                    <w:pStyle w:val="20"/>
                    <w:widowControl/>
                    <w:spacing w:beforeLines="0" w:afterLines="0"/>
                    <w:rPr>
                      <w:rFonts w:hint="default" w:ascii="Times New Roman" w:hAnsi="Times New Roman" w:cs="Times New Roman"/>
                      <w:szCs w:val="21"/>
                    </w:rPr>
                  </w:pPr>
                  <w:r>
                    <w:rPr>
                      <w:rFonts w:hint="default" w:ascii="Times New Roman" w:hAnsi="Times New Roman" w:cs="Times New Roman"/>
                      <w:b/>
                      <w:bCs/>
                      <w:szCs w:val="21"/>
                    </w:rPr>
                    <w:t>坐标</w:t>
                  </w:r>
                </w:p>
              </w:tc>
              <w:tc>
                <w:tcPr>
                  <w:tcW w:w="492" w:type="pct"/>
                  <w:vMerge w:val="restart"/>
                  <w:tcBorders>
                    <w:tl2br w:val="nil"/>
                    <w:tr2bl w:val="nil"/>
                  </w:tcBorders>
                  <w:vAlign w:val="center"/>
                </w:tcPr>
                <w:p w14:paraId="53163575">
                  <w:pPr>
                    <w:pStyle w:val="20"/>
                    <w:widowControl/>
                    <w:spacing w:beforeLines="0" w:afterLines="0"/>
                    <w:rPr>
                      <w:rFonts w:hint="default" w:ascii="Times New Roman" w:hAnsi="Times New Roman" w:cs="Times New Roman"/>
                      <w:szCs w:val="21"/>
                    </w:rPr>
                  </w:pPr>
                  <w:r>
                    <w:rPr>
                      <w:rFonts w:hint="default" w:ascii="Times New Roman" w:hAnsi="Times New Roman" w:cs="Times New Roman"/>
                      <w:b/>
                      <w:bCs/>
                      <w:szCs w:val="21"/>
                    </w:rPr>
                    <w:t>规模</w:t>
                  </w:r>
                </w:p>
              </w:tc>
              <w:tc>
                <w:tcPr>
                  <w:tcW w:w="1366" w:type="pct"/>
                  <w:vMerge w:val="restart"/>
                  <w:tcBorders>
                    <w:tl2br w:val="nil"/>
                    <w:tr2bl w:val="nil"/>
                  </w:tcBorders>
                  <w:vAlign w:val="center"/>
                </w:tcPr>
                <w:p w14:paraId="46B9793C">
                  <w:pPr>
                    <w:pStyle w:val="20"/>
                    <w:widowControl/>
                    <w:spacing w:beforeLines="0" w:afterLines="0"/>
                    <w:rPr>
                      <w:rFonts w:hint="default" w:ascii="Times New Roman" w:hAnsi="Times New Roman" w:cs="Times New Roman"/>
                      <w:szCs w:val="21"/>
                    </w:rPr>
                  </w:pPr>
                  <w:r>
                    <w:rPr>
                      <w:rFonts w:hint="default" w:ascii="Times New Roman" w:hAnsi="Times New Roman" w:cs="Times New Roman"/>
                      <w:b/>
                      <w:bCs/>
                      <w:szCs w:val="21"/>
                    </w:rPr>
                    <w:t>环境功能区</w:t>
                  </w:r>
                </w:p>
              </w:tc>
              <w:tc>
                <w:tcPr>
                  <w:tcW w:w="564" w:type="pct"/>
                  <w:vMerge w:val="restart"/>
                  <w:tcBorders>
                    <w:tl2br w:val="nil"/>
                    <w:tr2bl w:val="nil"/>
                  </w:tcBorders>
                  <w:vAlign w:val="center"/>
                </w:tcPr>
                <w:p w14:paraId="0AC3BBDF">
                  <w:pPr>
                    <w:pStyle w:val="20"/>
                    <w:widowControl/>
                    <w:spacing w:beforeLines="0" w:afterLines="0"/>
                    <w:rPr>
                      <w:rFonts w:hint="default" w:ascii="Times New Roman" w:hAnsi="Times New Roman" w:cs="Times New Roman"/>
                      <w:szCs w:val="21"/>
                    </w:rPr>
                  </w:pPr>
                  <w:r>
                    <w:rPr>
                      <w:rFonts w:hint="default" w:ascii="Times New Roman" w:hAnsi="Times New Roman" w:cs="Times New Roman"/>
                      <w:b/>
                      <w:bCs/>
                      <w:szCs w:val="21"/>
                    </w:rPr>
                    <w:t>相对厂址方位</w:t>
                  </w:r>
                </w:p>
              </w:tc>
              <w:tc>
                <w:tcPr>
                  <w:tcW w:w="650" w:type="pct"/>
                  <w:vMerge w:val="restart"/>
                  <w:tcBorders>
                    <w:tl2br w:val="nil"/>
                    <w:tr2bl w:val="nil"/>
                  </w:tcBorders>
                  <w:vAlign w:val="center"/>
                </w:tcPr>
                <w:p w14:paraId="0E498A88">
                  <w:pPr>
                    <w:pStyle w:val="20"/>
                    <w:widowControl/>
                    <w:spacing w:beforeLines="0" w:afterLines="0"/>
                    <w:rPr>
                      <w:rFonts w:hint="default" w:ascii="Times New Roman" w:hAnsi="Times New Roman" w:cs="Times New Roman"/>
                      <w:szCs w:val="21"/>
                    </w:rPr>
                  </w:pPr>
                  <w:r>
                    <w:rPr>
                      <w:rFonts w:hint="default" w:ascii="Times New Roman" w:hAnsi="Times New Roman" w:cs="Times New Roman"/>
                      <w:b/>
                      <w:bCs/>
                      <w:szCs w:val="21"/>
                    </w:rPr>
                    <w:t>相对厂界距离/m</w:t>
                  </w:r>
                </w:p>
              </w:tc>
            </w:tr>
            <w:tr w14:paraId="494AE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49" w:type="pct"/>
                  <w:vMerge w:val="continue"/>
                  <w:tcBorders>
                    <w:tl2br w:val="nil"/>
                    <w:tr2bl w:val="nil"/>
                  </w:tcBorders>
                  <w:vAlign w:val="center"/>
                </w:tcPr>
                <w:p w14:paraId="00485CC1">
                  <w:pPr>
                    <w:pStyle w:val="20"/>
                    <w:widowControl/>
                    <w:spacing w:beforeLines="0" w:afterLines="0"/>
                    <w:rPr>
                      <w:rFonts w:hint="default" w:ascii="Times New Roman" w:hAnsi="Times New Roman" w:cs="Times New Roman"/>
                      <w:szCs w:val="21"/>
                    </w:rPr>
                  </w:pPr>
                </w:p>
              </w:tc>
              <w:tc>
                <w:tcPr>
                  <w:tcW w:w="763" w:type="pct"/>
                  <w:tcBorders>
                    <w:tl2br w:val="nil"/>
                    <w:tr2bl w:val="nil"/>
                  </w:tcBorders>
                  <w:vAlign w:val="center"/>
                </w:tcPr>
                <w:p w14:paraId="55FF5BE4">
                  <w:pPr>
                    <w:pStyle w:val="20"/>
                    <w:widowControl/>
                    <w:spacing w:beforeLines="0" w:afterLines="0"/>
                    <w:rPr>
                      <w:rFonts w:hint="default" w:ascii="Times New Roman" w:hAnsi="Times New Roman" w:cs="Times New Roman"/>
                      <w:szCs w:val="21"/>
                    </w:rPr>
                  </w:pPr>
                  <w:r>
                    <w:rPr>
                      <w:rFonts w:hint="default" w:ascii="Times New Roman" w:hAnsi="Times New Roman" w:cs="Times New Roman"/>
                      <w:szCs w:val="21"/>
                    </w:rPr>
                    <w:t>经度</w:t>
                  </w:r>
                </w:p>
              </w:tc>
              <w:tc>
                <w:tcPr>
                  <w:tcW w:w="712" w:type="pct"/>
                  <w:tcBorders>
                    <w:tl2br w:val="nil"/>
                    <w:tr2bl w:val="nil"/>
                  </w:tcBorders>
                  <w:vAlign w:val="center"/>
                </w:tcPr>
                <w:p w14:paraId="0AC33AC5">
                  <w:pPr>
                    <w:pStyle w:val="20"/>
                    <w:widowControl/>
                    <w:spacing w:beforeLines="0" w:afterLines="0"/>
                    <w:rPr>
                      <w:rFonts w:hint="default" w:ascii="Times New Roman" w:hAnsi="Times New Roman" w:cs="Times New Roman"/>
                      <w:szCs w:val="21"/>
                    </w:rPr>
                  </w:pPr>
                  <w:r>
                    <w:rPr>
                      <w:rFonts w:hint="default" w:ascii="Times New Roman" w:hAnsi="Times New Roman" w:cs="Times New Roman"/>
                      <w:szCs w:val="21"/>
                    </w:rPr>
                    <w:t>纬度</w:t>
                  </w:r>
                </w:p>
              </w:tc>
              <w:tc>
                <w:tcPr>
                  <w:tcW w:w="492" w:type="pct"/>
                  <w:vMerge w:val="continue"/>
                  <w:tcBorders>
                    <w:tl2br w:val="nil"/>
                    <w:tr2bl w:val="nil"/>
                  </w:tcBorders>
                  <w:vAlign w:val="center"/>
                </w:tcPr>
                <w:p w14:paraId="16B5B93D">
                  <w:pPr>
                    <w:pStyle w:val="20"/>
                    <w:widowControl/>
                    <w:spacing w:beforeLines="0" w:afterLines="0"/>
                    <w:rPr>
                      <w:rFonts w:hint="default" w:ascii="Times New Roman" w:hAnsi="Times New Roman" w:cs="Times New Roman"/>
                      <w:szCs w:val="21"/>
                    </w:rPr>
                  </w:pPr>
                </w:p>
              </w:tc>
              <w:tc>
                <w:tcPr>
                  <w:tcW w:w="1366" w:type="pct"/>
                  <w:vMerge w:val="continue"/>
                  <w:tcBorders>
                    <w:tl2br w:val="nil"/>
                    <w:tr2bl w:val="nil"/>
                  </w:tcBorders>
                  <w:vAlign w:val="center"/>
                </w:tcPr>
                <w:p w14:paraId="092CEEC4">
                  <w:pPr>
                    <w:pStyle w:val="20"/>
                    <w:widowControl/>
                    <w:spacing w:beforeLines="0" w:afterLines="0"/>
                    <w:rPr>
                      <w:rFonts w:hint="default" w:ascii="Times New Roman" w:hAnsi="Times New Roman" w:cs="Times New Roman"/>
                      <w:szCs w:val="21"/>
                    </w:rPr>
                  </w:pPr>
                </w:p>
              </w:tc>
              <w:tc>
                <w:tcPr>
                  <w:tcW w:w="564" w:type="pct"/>
                  <w:vMerge w:val="continue"/>
                  <w:tcBorders>
                    <w:tl2br w:val="nil"/>
                    <w:tr2bl w:val="nil"/>
                  </w:tcBorders>
                  <w:vAlign w:val="center"/>
                </w:tcPr>
                <w:p w14:paraId="05E6112D">
                  <w:pPr>
                    <w:pStyle w:val="20"/>
                    <w:widowControl/>
                    <w:spacing w:beforeLines="0" w:afterLines="0"/>
                    <w:rPr>
                      <w:rFonts w:hint="default" w:ascii="Times New Roman" w:hAnsi="Times New Roman" w:cs="Times New Roman"/>
                      <w:szCs w:val="21"/>
                    </w:rPr>
                  </w:pPr>
                </w:p>
              </w:tc>
              <w:tc>
                <w:tcPr>
                  <w:tcW w:w="650" w:type="pct"/>
                  <w:vMerge w:val="continue"/>
                  <w:tcBorders>
                    <w:tl2br w:val="nil"/>
                    <w:tr2bl w:val="nil"/>
                  </w:tcBorders>
                  <w:vAlign w:val="center"/>
                </w:tcPr>
                <w:p w14:paraId="71BAAD1A">
                  <w:pPr>
                    <w:pStyle w:val="20"/>
                    <w:widowControl/>
                    <w:spacing w:beforeLines="0" w:afterLines="0"/>
                    <w:rPr>
                      <w:rFonts w:hint="default" w:ascii="Times New Roman" w:hAnsi="Times New Roman" w:cs="Times New Roman"/>
                      <w:szCs w:val="21"/>
                    </w:rPr>
                  </w:pPr>
                </w:p>
              </w:tc>
            </w:tr>
            <w:tr w14:paraId="3C948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49" w:type="pct"/>
                  <w:tcBorders>
                    <w:tl2br w:val="nil"/>
                    <w:tr2bl w:val="nil"/>
                  </w:tcBorders>
                  <w:vAlign w:val="center"/>
                </w:tcPr>
                <w:p w14:paraId="00484D31">
                  <w:pPr>
                    <w:pStyle w:val="20"/>
                    <w:widowControl/>
                    <w:spacing w:beforeLines="0" w:afterLines="0"/>
                    <w:rPr>
                      <w:rFonts w:hint="default" w:ascii="Times New Roman" w:hAnsi="Times New Roman" w:cs="Times New Roman"/>
                      <w:szCs w:val="21"/>
                    </w:rPr>
                  </w:pPr>
                  <w:r>
                    <w:rPr>
                      <w:rFonts w:hint="default" w:ascii="Times New Roman" w:hAnsi="Times New Roman" w:cs="Times New Roman"/>
                      <w:szCs w:val="21"/>
                    </w:rPr>
                    <w:t>金山花园</w:t>
                  </w:r>
                </w:p>
              </w:tc>
              <w:tc>
                <w:tcPr>
                  <w:tcW w:w="1267" w:type="dxa"/>
                  <w:tcBorders>
                    <w:tl2br w:val="nil"/>
                    <w:tr2bl w:val="nil"/>
                  </w:tcBorders>
                  <w:vAlign w:val="center"/>
                </w:tcPr>
                <w:p w14:paraId="195026F2">
                  <w:pPr>
                    <w:widowControl/>
                    <w:jc w:val="center"/>
                    <w:rPr>
                      <w:rFonts w:hint="default" w:ascii="Times New Roman" w:hAnsi="Times New Roman" w:cs="Times New Roman"/>
                      <w:szCs w:val="21"/>
                    </w:rPr>
                  </w:pPr>
                  <w:r>
                    <w:rPr>
                      <w:rFonts w:hint="default" w:ascii="Times New Roman" w:hAnsi="Times New Roman" w:cs="Times New Roman"/>
                      <w:szCs w:val="21"/>
                    </w:rPr>
                    <w:t>119.410149</w:t>
                  </w:r>
                </w:p>
              </w:tc>
              <w:tc>
                <w:tcPr>
                  <w:tcW w:w="1183" w:type="dxa"/>
                  <w:tcBorders>
                    <w:tl2br w:val="nil"/>
                    <w:tr2bl w:val="nil"/>
                  </w:tcBorders>
                  <w:vAlign w:val="center"/>
                </w:tcPr>
                <w:p w14:paraId="43155266">
                  <w:pPr>
                    <w:widowControl/>
                    <w:jc w:val="center"/>
                    <w:rPr>
                      <w:rFonts w:hint="default" w:ascii="Times New Roman" w:hAnsi="Times New Roman" w:cs="Times New Roman"/>
                      <w:szCs w:val="21"/>
                    </w:rPr>
                  </w:pPr>
                  <w:r>
                    <w:rPr>
                      <w:rFonts w:hint="default" w:ascii="Times New Roman" w:hAnsi="Times New Roman" w:cs="Times New Roman"/>
                      <w:szCs w:val="21"/>
                    </w:rPr>
                    <w:t>32.286501</w:t>
                  </w:r>
                </w:p>
              </w:tc>
              <w:tc>
                <w:tcPr>
                  <w:tcW w:w="492" w:type="pct"/>
                  <w:tcBorders>
                    <w:tl2br w:val="nil"/>
                    <w:tr2bl w:val="nil"/>
                  </w:tcBorders>
                  <w:vAlign w:val="center"/>
                </w:tcPr>
                <w:p w14:paraId="0F1EFB7C">
                  <w:pPr>
                    <w:pStyle w:val="20"/>
                    <w:widowControl/>
                    <w:spacing w:beforeLines="0" w:afterLines="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5000人</w:t>
                  </w:r>
                </w:p>
              </w:tc>
              <w:tc>
                <w:tcPr>
                  <w:tcW w:w="1366" w:type="pct"/>
                  <w:tcBorders>
                    <w:tl2br w:val="nil"/>
                    <w:tr2bl w:val="nil"/>
                  </w:tcBorders>
                  <w:vAlign w:val="center"/>
                </w:tcPr>
                <w:p w14:paraId="2AE3A3F8">
                  <w:pPr>
                    <w:pStyle w:val="20"/>
                    <w:widowControl/>
                    <w:spacing w:beforeLines="0" w:afterLines="0"/>
                    <w:rPr>
                      <w:rFonts w:hint="default" w:ascii="Times New Roman" w:hAnsi="Times New Roman" w:cs="Times New Roman"/>
                      <w:szCs w:val="21"/>
                    </w:rPr>
                  </w:pPr>
                  <w:r>
                    <w:rPr>
                      <w:rFonts w:hint="default" w:ascii="Times New Roman" w:hAnsi="Times New Roman" w:cs="Times New Roman"/>
                      <w:szCs w:val="21"/>
                    </w:rPr>
                    <w:t>《环境空气质量标准》（GB3095-2012）二级</w:t>
                  </w:r>
                </w:p>
              </w:tc>
              <w:tc>
                <w:tcPr>
                  <w:tcW w:w="564" w:type="pct"/>
                  <w:tcBorders>
                    <w:tl2br w:val="nil"/>
                    <w:tr2bl w:val="nil"/>
                  </w:tcBorders>
                  <w:vAlign w:val="center"/>
                </w:tcPr>
                <w:p w14:paraId="5B25C8DB">
                  <w:pPr>
                    <w:pStyle w:val="20"/>
                    <w:widowControl/>
                    <w:spacing w:beforeLines="0" w:afterLines="0"/>
                    <w:rPr>
                      <w:rFonts w:hint="default" w:ascii="Times New Roman" w:hAnsi="Times New Roman" w:cs="Times New Roman"/>
                      <w:szCs w:val="21"/>
                    </w:rPr>
                  </w:pPr>
                  <w:r>
                    <w:rPr>
                      <w:rFonts w:hint="default" w:ascii="Times New Roman" w:hAnsi="Times New Roman" w:cs="Times New Roman"/>
                      <w:szCs w:val="21"/>
                    </w:rPr>
                    <w:t>西</w:t>
                  </w:r>
                </w:p>
              </w:tc>
              <w:tc>
                <w:tcPr>
                  <w:tcW w:w="650" w:type="pct"/>
                  <w:tcBorders>
                    <w:tl2br w:val="nil"/>
                    <w:tr2bl w:val="nil"/>
                  </w:tcBorders>
                  <w:vAlign w:val="center"/>
                </w:tcPr>
                <w:p w14:paraId="0A21E990">
                  <w:pPr>
                    <w:pStyle w:val="20"/>
                    <w:widowControl/>
                    <w:spacing w:beforeLines="0" w:afterLines="0"/>
                    <w:rPr>
                      <w:rFonts w:hint="default" w:ascii="Times New Roman" w:hAnsi="Times New Roman" w:cs="Times New Roman"/>
                      <w:szCs w:val="21"/>
                    </w:rPr>
                  </w:pPr>
                  <w:r>
                    <w:rPr>
                      <w:rFonts w:hint="default" w:ascii="Times New Roman" w:hAnsi="Times New Roman" w:cs="Times New Roman"/>
                      <w:szCs w:val="21"/>
                    </w:rPr>
                    <w:t>130</w:t>
                  </w:r>
                </w:p>
              </w:tc>
            </w:tr>
          </w:tbl>
          <w:p w14:paraId="3EB8A7A0">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2、声环境</w:t>
            </w:r>
          </w:p>
          <w:p w14:paraId="7A9C923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本项目位于扬州经济技术开发区金山路129号，厂界外50m范围内无声环境保护目标。</w:t>
            </w:r>
          </w:p>
          <w:p w14:paraId="10E62079">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3、地下水环境</w:t>
            </w:r>
          </w:p>
          <w:p w14:paraId="17B249B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本项目位于扬州经济技术开发区金山路129号，厂界外500m范围内无地下水环境保护目标。</w:t>
            </w:r>
          </w:p>
          <w:p w14:paraId="33843AAB">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4、生态环境</w:t>
            </w:r>
          </w:p>
          <w:p w14:paraId="6DB2213B">
            <w:pPr>
              <w:adjustRightInd w:val="0"/>
              <w:snapToGrid w:val="0"/>
              <w:spacing w:line="360" w:lineRule="auto"/>
              <w:ind w:firstLine="480" w:firstLineChars="200"/>
              <w:rPr>
                <w:rFonts w:hint="default" w:ascii="Times New Roman" w:hAnsi="Times New Roman" w:cs="Times New Roman"/>
                <w:kern w:val="0"/>
                <w:szCs w:val="21"/>
              </w:rPr>
            </w:pPr>
            <w:r>
              <w:rPr>
                <w:rFonts w:hint="default" w:ascii="Times New Roman" w:hAnsi="Times New Roman" w:cs="Times New Roman"/>
                <w:sz w:val="24"/>
              </w:rPr>
              <w:t>本项目位于扬州经济技术开发区金山路129号，在厂区内，不涉及生态环境保护目标。</w:t>
            </w:r>
          </w:p>
        </w:tc>
      </w:tr>
      <w:tr w14:paraId="66AD3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tcMar>
              <w:left w:w="28" w:type="dxa"/>
              <w:right w:w="28" w:type="dxa"/>
            </w:tcMar>
            <w:vAlign w:val="center"/>
          </w:tcPr>
          <w:p w14:paraId="2E730A26">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污染</w:t>
            </w:r>
          </w:p>
          <w:p w14:paraId="0A82B0C8">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物排</w:t>
            </w:r>
          </w:p>
          <w:p w14:paraId="285397B4">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放控</w:t>
            </w:r>
          </w:p>
          <w:p w14:paraId="43808286">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制标</w:t>
            </w:r>
          </w:p>
          <w:p w14:paraId="0AFC8EC1">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准</w:t>
            </w:r>
          </w:p>
        </w:tc>
        <w:tc>
          <w:tcPr>
            <w:tcW w:w="8475" w:type="dxa"/>
            <w:vAlign w:val="center"/>
          </w:tcPr>
          <w:p w14:paraId="017BC7AF">
            <w:pPr>
              <w:spacing w:line="360" w:lineRule="auto"/>
              <w:ind w:firstLine="482" w:firstLineChars="200"/>
              <w:jc w:val="left"/>
              <w:rPr>
                <w:rFonts w:hint="default" w:ascii="Times New Roman" w:hAnsi="Times New Roman" w:cs="Times New Roman"/>
                <w:b/>
                <w:bCs/>
                <w:sz w:val="24"/>
              </w:rPr>
            </w:pPr>
            <w:r>
              <w:rPr>
                <w:rFonts w:hint="default" w:ascii="Times New Roman" w:hAnsi="Times New Roman" w:cs="Times New Roman"/>
                <w:b/>
                <w:bCs/>
                <w:sz w:val="24"/>
              </w:rPr>
              <w:t>（1）废气</w:t>
            </w:r>
          </w:p>
          <w:p w14:paraId="3992A3A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本项目废气排放执行《大气污染物综合排放标准》（DB32/4041-2021）中排放限值，详见下表。</w:t>
            </w:r>
          </w:p>
          <w:p w14:paraId="272621A1">
            <w:pPr>
              <w:jc w:val="center"/>
              <w:rPr>
                <w:rFonts w:hint="default" w:ascii="Times New Roman" w:hAnsi="Times New Roman" w:cs="Times New Roman"/>
                <w:b/>
                <w:bCs/>
                <w:sz w:val="24"/>
              </w:rPr>
            </w:pPr>
            <w:r>
              <w:rPr>
                <w:rFonts w:hint="default" w:ascii="Times New Roman" w:hAnsi="Times New Roman" w:cs="Times New Roman"/>
                <w:b/>
                <w:bCs/>
                <w:sz w:val="24"/>
              </w:rPr>
              <w:t>表3.3  大气污染物排放标准</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00"/>
              <w:gridCol w:w="1276"/>
              <w:gridCol w:w="1522"/>
              <w:gridCol w:w="1146"/>
              <w:gridCol w:w="1305"/>
              <w:gridCol w:w="1380"/>
            </w:tblGrid>
            <w:tr w14:paraId="30404F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598" w:type="dxa"/>
                  <w:vMerge w:val="restart"/>
                  <w:tcBorders>
                    <w:tl2br w:val="nil"/>
                    <w:tr2bl w:val="nil"/>
                  </w:tcBorders>
                  <w:vAlign w:val="center"/>
                </w:tcPr>
                <w:p w14:paraId="45EE856A">
                  <w:pPr>
                    <w:jc w:val="center"/>
                    <w:rPr>
                      <w:rFonts w:hint="default" w:ascii="Times New Roman" w:hAnsi="Times New Roman" w:cs="Times New Roman"/>
                      <w:b/>
                      <w:sz w:val="22"/>
                      <w:szCs w:val="22"/>
                    </w:rPr>
                  </w:pPr>
                  <w:r>
                    <w:rPr>
                      <w:rFonts w:hint="default" w:ascii="Times New Roman" w:hAnsi="Times New Roman" w:cs="Times New Roman"/>
                      <w:b/>
                      <w:sz w:val="22"/>
                      <w:szCs w:val="22"/>
                    </w:rPr>
                    <w:t>污染物指标</w:t>
                  </w:r>
                </w:p>
              </w:tc>
              <w:tc>
                <w:tcPr>
                  <w:tcW w:w="1275" w:type="dxa"/>
                  <w:vMerge w:val="restart"/>
                  <w:tcBorders>
                    <w:tl2br w:val="nil"/>
                    <w:tr2bl w:val="nil"/>
                  </w:tcBorders>
                  <w:vAlign w:val="center"/>
                </w:tcPr>
                <w:p w14:paraId="5B211A6C">
                  <w:pPr>
                    <w:jc w:val="center"/>
                    <w:rPr>
                      <w:rFonts w:hint="default" w:ascii="Times New Roman" w:hAnsi="Times New Roman" w:cs="Times New Roman"/>
                      <w:b/>
                      <w:sz w:val="22"/>
                      <w:szCs w:val="22"/>
                    </w:rPr>
                  </w:pPr>
                  <w:r>
                    <w:rPr>
                      <w:rFonts w:hint="default" w:ascii="Times New Roman" w:hAnsi="Times New Roman" w:cs="Times New Roman"/>
                      <w:b/>
                      <w:sz w:val="22"/>
                      <w:szCs w:val="22"/>
                    </w:rPr>
                    <w:t>对应排气筒编号</w:t>
                  </w:r>
                </w:p>
              </w:tc>
              <w:tc>
                <w:tcPr>
                  <w:tcW w:w="1520" w:type="dxa"/>
                  <w:vMerge w:val="restart"/>
                  <w:tcBorders>
                    <w:tl2br w:val="nil"/>
                    <w:tr2bl w:val="nil"/>
                  </w:tcBorders>
                  <w:vAlign w:val="center"/>
                </w:tcPr>
                <w:p w14:paraId="1DAC0095">
                  <w:pPr>
                    <w:jc w:val="center"/>
                    <w:rPr>
                      <w:rFonts w:hint="default" w:ascii="Times New Roman" w:hAnsi="Times New Roman" w:eastAsia="Times New Roman" w:cs="Times New Roman"/>
                      <w:b/>
                      <w:sz w:val="22"/>
                      <w:szCs w:val="22"/>
                    </w:rPr>
                  </w:pPr>
                  <w:r>
                    <w:rPr>
                      <w:rFonts w:hint="default" w:ascii="Times New Roman" w:hAnsi="Times New Roman" w:cs="Times New Roman"/>
                      <w:b/>
                      <w:sz w:val="22"/>
                      <w:szCs w:val="22"/>
                    </w:rPr>
                    <w:t>最高允许排放浓度</w:t>
                  </w:r>
                  <w:r>
                    <w:rPr>
                      <w:rFonts w:hint="default" w:ascii="Times New Roman" w:hAnsi="Times New Roman" w:cs="Times New Roman"/>
                      <w:sz w:val="22"/>
                      <w:szCs w:val="22"/>
                    </w:rPr>
                    <w:t>mg/ m</w:t>
                  </w:r>
                  <w:r>
                    <w:rPr>
                      <w:rFonts w:hint="default" w:ascii="Times New Roman" w:hAnsi="Times New Roman" w:cs="Times New Roman"/>
                      <w:sz w:val="22"/>
                      <w:szCs w:val="22"/>
                      <w:vertAlign w:val="superscript"/>
                    </w:rPr>
                    <w:t>3</w:t>
                  </w:r>
                </w:p>
              </w:tc>
              <w:tc>
                <w:tcPr>
                  <w:tcW w:w="1145" w:type="dxa"/>
                  <w:vMerge w:val="restart"/>
                  <w:tcBorders>
                    <w:tl2br w:val="nil"/>
                    <w:tr2bl w:val="nil"/>
                  </w:tcBorders>
                  <w:vAlign w:val="center"/>
                </w:tcPr>
                <w:p w14:paraId="4B7D4A52">
                  <w:pPr>
                    <w:jc w:val="center"/>
                    <w:rPr>
                      <w:rFonts w:hint="default" w:ascii="Times New Roman" w:hAnsi="Times New Roman" w:cs="Times New Roman"/>
                      <w:b/>
                      <w:sz w:val="22"/>
                      <w:szCs w:val="22"/>
                    </w:rPr>
                  </w:pPr>
                  <w:r>
                    <w:rPr>
                      <w:rFonts w:hint="default" w:ascii="Times New Roman" w:hAnsi="Times New Roman" w:cs="Times New Roman"/>
                      <w:b/>
                      <w:sz w:val="22"/>
                      <w:szCs w:val="22"/>
                    </w:rPr>
                    <w:t xml:space="preserve">最高允许排放速率 </w:t>
                  </w:r>
                  <w:r>
                    <w:rPr>
                      <w:rFonts w:hint="default" w:ascii="Times New Roman" w:hAnsi="Times New Roman" w:eastAsia="Times New Roman" w:cs="Times New Roman"/>
                      <w:b/>
                      <w:sz w:val="22"/>
                      <w:szCs w:val="22"/>
                    </w:rPr>
                    <w:t>kg/h</w:t>
                  </w:r>
                </w:p>
              </w:tc>
              <w:tc>
                <w:tcPr>
                  <w:tcW w:w="2682" w:type="dxa"/>
                  <w:gridSpan w:val="2"/>
                  <w:tcBorders>
                    <w:tl2br w:val="nil"/>
                    <w:tr2bl w:val="nil"/>
                  </w:tcBorders>
                  <w:vAlign w:val="center"/>
                </w:tcPr>
                <w:p w14:paraId="51FB3501">
                  <w:pPr>
                    <w:jc w:val="center"/>
                    <w:rPr>
                      <w:rFonts w:hint="default" w:ascii="Times New Roman" w:hAnsi="Times New Roman" w:eastAsia="Times New Roman" w:cs="Times New Roman"/>
                      <w:b/>
                      <w:sz w:val="22"/>
                      <w:szCs w:val="22"/>
                    </w:rPr>
                  </w:pPr>
                  <w:r>
                    <w:rPr>
                      <w:rFonts w:hint="default" w:ascii="Times New Roman" w:hAnsi="Times New Roman" w:cs="Times New Roman"/>
                      <w:b/>
                      <w:sz w:val="22"/>
                      <w:szCs w:val="22"/>
                    </w:rPr>
                    <w:t xml:space="preserve">无组织排放 </w:t>
                  </w:r>
                  <w:r>
                    <w:rPr>
                      <w:rFonts w:hint="default" w:ascii="Times New Roman" w:hAnsi="Times New Roman" w:cs="Times New Roman"/>
                      <w:sz w:val="22"/>
                      <w:szCs w:val="22"/>
                    </w:rPr>
                    <w:t>mg/m</w:t>
                  </w:r>
                  <w:r>
                    <w:rPr>
                      <w:rFonts w:hint="default" w:ascii="Times New Roman" w:hAnsi="Times New Roman" w:cs="Times New Roman"/>
                      <w:sz w:val="22"/>
                      <w:szCs w:val="22"/>
                      <w:vertAlign w:val="superscript"/>
                    </w:rPr>
                    <w:t>3</w:t>
                  </w:r>
                </w:p>
              </w:tc>
            </w:tr>
            <w:tr w14:paraId="10DB0A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598" w:type="dxa"/>
                  <w:vMerge w:val="continue"/>
                  <w:tcBorders>
                    <w:tl2br w:val="nil"/>
                    <w:tr2bl w:val="nil"/>
                  </w:tcBorders>
                  <w:vAlign w:val="center"/>
                </w:tcPr>
                <w:p w14:paraId="6BB28B58">
                  <w:pPr>
                    <w:jc w:val="center"/>
                    <w:rPr>
                      <w:rFonts w:hint="default" w:ascii="Times New Roman" w:hAnsi="Times New Roman" w:cs="Times New Roman"/>
                      <w:sz w:val="22"/>
                      <w:szCs w:val="22"/>
                    </w:rPr>
                  </w:pPr>
                </w:p>
              </w:tc>
              <w:tc>
                <w:tcPr>
                  <w:tcW w:w="1275" w:type="dxa"/>
                  <w:vMerge w:val="continue"/>
                  <w:tcBorders>
                    <w:tl2br w:val="nil"/>
                    <w:tr2bl w:val="nil"/>
                  </w:tcBorders>
                  <w:vAlign w:val="center"/>
                </w:tcPr>
                <w:p w14:paraId="32168229">
                  <w:pPr>
                    <w:jc w:val="center"/>
                    <w:rPr>
                      <w:rFonts w:hint="default" w:ascii="Times New Roman" w:hAnsi="Times New Roman" w:cs="Times New Roman"/>
                      <w:sz w:val="22"/>
                      <w:szCs w:val="22"/>
                    </w:rPr>
                  </w:pPr>
                </w:p>
              </w:tc>
              <w:tc>
                <w:tcPr>
                  <w:tcW w:w="1520" w:type="dxa"/>
                  <w:vMerge w:val="continue"/>
                  <w:tcBorders>
                    <w:tl2br w:val="nil"/>
                    <w:tr2bl w:val="nil"/>
                  </w:tcBorders>
                  <w:vAlign w:val="center"/>
                </w:tcPr>
                <w:p w14:paraId="2834824D">
                  <w:pPr>
                    <w:jc w:val="center"/>
                    <w:rPr>
                      <w:rFonts w:hint="default" w:ascii="Times New Roman" w:hAnsi="Times New Roman" w:cs="Times New Roman"/>
                      <w:sz w:val="22"/>
                      <w:szCs w:val="22"/>
                    </w:rPr>
                  </w:pPr>
                </w:p>
              </w:tc>
              <w:tc>
                <w:tcPr>
                  <w:tcW w:w="1145" w:type="dxa"/>
                  <w:vMerge w:val="continue"/>
                  <w:tcBorders>
                    <w:tl2br w:val="nil"/>
                    <w:tr2bl w:val="nil"/>
                  </w:tcBorders>
                  <w:vAlign w:val="center"/>
                </w:tcPr>
                <w:p w14:paraId="09EE16B1">
                  <w:pPr>
                    <w:jc w:val="center"/>
                    <w:rPr>
                      <w:rFonts w:hint="default" w:ascii="Times New Roman" w:hAnsi="Times New Roman" w:cs="Times New Roman"/>
                      <w:b/>
                      <w:sz w:val="22"/>
                      <w:szCs w:val="22"/>
                    </w:rPr>
                  </w:pPr>
                </w:p>
              </w:tc>
              <w:tc>
                <w:tcPr>
                  <w:tcW w:w="1304" w:type="dxa"/>
                  <w:tcBorders>
                    <w:tl2br w:val="nil"/>
                    <w:tr2bl w:val="nil"/>
                  </w:tcBorders>
                  <w:vAlign w:val="center"/>
                </w:tcPr>
                <w:p w14:paraId="5BA09953">
                  <w:pPr>
                    <w:jc w:val="center"/>
                    <w:rPr>
                      <w:rFonts w:hint="default" w:ascii="Times New Roman" w:hAnsi="Times New Roman" w:cs="Times New Roman"/>
                      <w:b/>
                      <w:sz w:val="22"/>
                      <w:szCs w:val="22"/>
                    </w:rPr>
                  </w:pPr>
                  <w:r>
                    <w:rPr>
                      <w:rFonts w:hint="default" w:ascii="Times New Roman" w:hAnsi="Times New Roman" w:cs="Times New Roman"/>
                      <w:b/>
                      <w:sz w:val="22"/>
                      <w:szCs w:val="22"/>
                    </w:rPr>
                    <w:t>监控点</w:t>
                  </w:r>
                </w:p>
              </w:tc>
              <w:tc>
                <w:tcPr>
                  <w:tcW w:w="1378" w:type="dxa"/>
                  <w:tcBorders>
                    <w:tl2br w:val="nil"/>
                    <w:tr2bl w:val="nil"/>
                  </w:tcBorders>
                  <w:vAlign w:val="center"/>
                </w:tcPr>
                <w:p w14:paraId="7DCFBC95">
                  <w:pPr>
                    <w:jc w:val="center"/>
                    <w:rPr>
                      <w:rFonts w:hint="default" w:ascii="Times New Roman" w:hAnsi="Times New Roman" w:cs="Times New Roman"/>
                      <w:b/>
                      <w:sz w:val="22"/>
                      <w:szCs w:val="22"/>
                    </w:rPr>
                  </w:pPr>
                  <w:r>
                    <w:rPr>
                      <w:rFonts w:hint="default" w:ascii="Times New Roman" w:hAnsi="Times New Roman" w:cs="Times New Roman"/>
                      <w:b/>
                      <w:sz w:val="22"/>
                      <w:szCs w:val="22"/>
                    </w:rPr>
                    <w:t>限值</w:t>
                  </w:r>
                </w:p>
              </w:tc>
            </w:tr>
            <w:tr w14:paraId="714CC4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598" w:type="dxa"/>
                  <w:vMerge w:val="restart"/>
                  <w:tcBorders>
                    <w:tl2br w:val="nil"/>
                    <w:tr2bl w:val="nil"/>
                  </w:tcBorders>
                  <w:vAlign w:val="center"/>
                </w:tcPr>
                <w:p w14:paraId="5090B3A7">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非甲烷总烃</w:t>
                  </w:r>
                </w:p>
              </w:tc>
              <w:tc>
                <w:tcPr>
                  <w:tcW w:w="1275" w:type="dxa"/>
                  <w:tcBorders>
                    <w:tl2br w:val="nil"/>
                    <w:tr2bl w:val="nil"/>
                  </w:tcBorders>
                  <w:vAlign w:val="center"/>
                </w:tcPr>
                <w:p w14:paraId="3BD13C84">
                  <w:pPr>
                    <w:jc w:val="center"/>
                    <w:rPr>
                      <w:rFonts w:hint="default" w:ascii="Times New Roman" w:hAnsi="Times New Roman" w:eastAsia="宋体" w:cs="Times New Roman"/>
                      <w:color w:val="auto"/>
                      <w:sz w:val="22"/>
                      <w:szCs w:val="22"/>
                      <w:lang w:val="en-US" w:eastAsia="zh-CN"/>
                    </w:rPr>
                  </w:pPr>
                  <w:r>
                    <w:rPr>
                      <w:rFonts w:hint="eastAsia" w:cs="Times New Roman"/>
                      <w:color w:val="auto"/>
                      <w:sz w:val="22"/>
                      <w:szCs w:val="22"/>
                      <w:lang w:val="en-US" w:eastAsia="zh-CN"/>
                    </w:rPr>
                    <w:t>DA001</w:t>
                  </w:r>
                </w:p>
              </w:tc>
              <w:tc>
                <w:tcPr>
                  <w:tcW w:w="1520" w:type="dxa"/>
                  <w:vMerge w:val="restart"/>
                  <w:tcBorders>
                    <w:tl2br w:val="nil"/>
                    <w:tr2bl w:val="nil"/>
                  </w:tcBorders>
                  <w:vAlign w:val="center"/>
                </w:tcPr>
                <w:p w14:paraId="47E7CC94">
                  <w:pPr>
                    <w:jc w:val="center"/>
                    <w:rPr>
                      <w:rFonts w:hint="default" w:ascii="Times New Roman" w:hAnsi="Times New Roman" w:cs="Times New Roman"/>
                      <w:sz w:val="22"/>
                      <w:szCs w:val="22"/>
                    </w:rPr>
                  </w:pPr>
                  <w:r>
                    <w:rPr>
                      <w:rFonts w:hint="default" w:ascii="Times New Roman" w:hAnsi="Times New Roman" w:cs="Times New Roman"/>
                      <w:sz w:val="22"/>
                      <w:szCs w:val="22"/>
                    </w:rPr>
                    <w:t>60</w:t>
                  </w:r>
                </w:p>
              </w:tc>
              <w:tc>
                <w:tcPr>
                  <w:tcW w:w="1145" w:type="dxa"/>
                  <w:vMerge w:val="restart"/>
                  <w:tcBorders>
                    <w:tl2br w:val="nil"/>
                    <w:tr2bl w:val="nil"/>
                  </w:tcBorders>
                  <w:vAlign w:val="center"/>
                </w:tcPr>
                <w:p w14:paraId="735C1DB5">
                  <w:pPr>
                    <w:jc w:val="center"/>
                    <w:rPr>
                      <w:rFonts w:hint="eastAsia" w:ascii="Times New Roman" w:hAnsi="Times New Roman" w:eastAsia="宋体" w:cs="Times New Roman"/>
                      <w:sz w:val="22"/>
                      <w:szCs w:val="22"/>
                      <w:lang w:eastAsia="zh-CN"/>
                    </w:rPr>
                  </w:pPr>
                  <w:r>
                    <w:rPr>
                      <w:rFonts w:hint="eastAsia" w:cs="Times New Roman"/>
                      <w:sz w:val="22"/>
                      <w:szCs w:val="22"/>
                      <w:lang w:val="en-US" w:eastAsia="zh-CN"/>
                    </w:rPr>
                    <w:t>3</w:t>
                  </w:r>
                </w:p>
              </w:tc>
              <w:tc>
                <w:tcPr>
                  <w:tcW w:w="1304" w:type="dxa"/>
                  <w:vMerge w:val="restart"/>
                  <w:tcBorders>
                    <w:tl2br w:val="nil"/>
                    <w:tr2bl w:val="nil"/>
                  </w:tcBorders>
                  <w:vAlign w:val="center"/>
                </w:tcPr>
                <w:p w14:paraId="5E4E78A0">
                  <w:pPr>
                    <w:jc w:val="center"/>
                    <w:rPr>
                      <w:rFonts w:hint="default" w:ascii="Times New Roman" w:hAnsi="Times New Roman" w:cs="Times New Roman"/>
                      <w:sz w:val="22"/>
                      <w:szCs w:val="22"/>
                    </w:rPr>
                  </w:pPr>
                  <w:r>
                    <w:rPr>
                      <w:rFonts w:hint="default" w:ascii="Times New Roman" w:hAnsi="Times New Roman" w:cs="Times New Roman"/>
                      <w:sz w:val="22"/>
                      <w:szCs w:val="22"/>
                    </w:rPr>
                    <w:t>企业边界</w:t>
                  </w:r>
                </w:p>
              </w:tc>
              <w:tc>
                <w:tcPr>
                  <w:tcW w:w="1378" w:type="dxa"/>
                  <w:vMerge w:val="restart"/>
                  <w:tcBorders>
                    <w:tl2br w:val="nil"/>
                    <w:tr2bl w:val="nil"/>
                  </w:tcBorders>
                  <w:vAlign w:val="center"/>
                </w:tcPr>
                <w:p w14:paraId="0F811078">
                  <w:pPr>
                    <w:jc w:val="center"/>
                    <w:rPr>
                      <w:rFonts w:hint="default" w:ascii="Times New Roman" w:hAnsi="Times New Roman" w:cs="Times New Roman"/>
                      <w:sz w:val="22"/>
                      <w:szCs w:val="22"/>
                    </w:rPr>
                  </w:pPr>
                  <w:r>
                    <w:rPr>
                      <w:rFonts w:hint="default" w:ascii="Times New Roman" w:hAnsi="Times New Roman" w:cs="Times New Roman"/>
                      <w:sz w:val="22"/>
                      <w:szCs w:val="22"/>
                    </w:rPr>
                    <w:t>4.0</w:t>
                  </w:r>
                </w:p>
              </w:tc>
            </w:tr>
            <w:tr w14:paraId="3B6D2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598" w:type="dxa"/>
                  <w:vMerge w:val="continue"/>
                  <w:tcBorders>
                    <w:tl2br w:val="nil"/>
                    <w:tr2bl w:val="nil"/>
                  </w:tcBorders>
                  <w:vAlign w:val="center"/>
                </w:tcPr>
                <w:p w14:paraId="7319D689">
                  <w:pPr>
                    <w:jc w:val="center"/>
                    <w:rPr>
                      <w:rFonts w:hint="default" w:ascii="Times New Roman" w:hAnsi="Times New Roman" w:cs="Times New Roman"/>
                      <w:color w:val="auto"/>
                      <w:sz w:val="22"/>
                      <w:szCs w:val="22"/>
                    </w:rPr>
                  </w:pPr>
                </w:p>
              </w:tc>
              <w:tc>
                <w:tcPr>
                  <w:tcW w:w="1275" w:type="dxa"/>
                  <w:tcBorders>
                    <w:tl2br w:val="nil"/>
                    <w:tr2bl w:val="nil"/>
                  </w:tcBorders>
                  <w:vAlign w:val="center"/>
                </w:tcPr>
                <w:p w14:paraId="212F03F6">
                  <w:pPr>
                    <w:jc w:val="center"/>
                    <w:rPr>
                      <w:rFonts w:hint="default" w:ascii="Times New Roman" w:hAnsi="Times New Roman" w:eastAsia="宋体" w:cs="Times New Roman"/>
                      <w:color w:val="auto"/>
                      <w:sz w:val="22"/>
                      <w:szCs w:val="22"/>
                      <w:lang w:val="en-US" w:eastAsia="zh-CN"/>
                    </w:rPr>
                  </w:pPr>
                  <w:r>
                    <w:rPr>
                      <w:rFonts w:hint="eastAsia" w:cs="Times New Roman"/>
                      <w:color w:val="auto"/>
                      <w:sz w:val="22"/>
                      <w:szCs w:val="22"/>
                      <w:lang w:val="en-US" w:eastAsia="zh-CN"/>
                    </w:rPr>
                    <w:t>DA002</w:t>
                  </w:r>
                </w:p>
              </w:tc>
              <w:tc>
                <w:tcPr>
                  <w:tcW w:w="1520" w:type="dxa"/>
                  <w:vMerge w:val="continue"/>
                  <w:tcBorders>
                    <w:tl2br w:val="nil"/>
                    <w:tr2bl w:val="nil"/>
                  </w:tcBorders>
                  <w:vAlign w:val="center"/>
                </w:tcPr>
                <w:p w14:paraId="0CC8FCC9">
                  <w:pPr>
                    <w:jc w:val="center"/>
                    <w:rPr>
                      <w:rFonts w:hint="default" w:ascii="Times New Roman" w:hAnsi="Times New Roman" w:cs="Times New Roman"/>
                      <w:sz w:val="22"/>
                      <w:szCs w:val="22"/>
                    </w:rPr>
                  </w:pPr>
                </w:p>
              </w:tc>
              <w:tc>
                <w:tcPr>
                  <w:tcW w:w="1145" w:type="dxa"/>
                  <w:vMerge w:val="continue"/>
                  <w:tcBorders>
                    <w:tl2br w:val="nil"/>
                    <w:tr2bl w:val="nil"/>
                  </w:tcBorders>
                  <w:vAlign w:val="center"/>
                </w:tcPr>
                <w:p w14:paraId="4A84F12D">
                  <w:pPr>
                    <w:jc w:val="center"/>
                    <w:rPr>
                      <w:rFonts w:hint="default" w:ascii="Times New Roman" w:hAnsi="Times New Roman" w:cs="Times New Roman"/>
                      <w:sz w:val="22"/>
                      <w:szCs w:val="22"/>
                    </w:rPr>
                  </w:pPr>
                </w:p>
              </w:tc>
              <w:tc>
                <w:tcPr>
                  <w:tcW w:w="1304" w:type="dxa"/>
                  <w:vMerge w:val="continue"/>
                  <w:tcBorders>
                    <w:tl2br w:val="nil"/>
                    <w:tr2bl w:val="nil"/>
                  </w:tcBorders>
                  <w:vAlign w:val="center"/>
                </w:tcPr>
                <w:p w14:paraId="23DED8EA">
                  <w:pPr>
                    <w:jc w:val="center"/>
                    <w:rPr>
                      <w:rFonts w:hint="default" w:ascii="Times New Roman" w:hAnsi="Times New Roman" w:cs="Times New Roman"/>
                      <w:sz w:val="22"/>
                      <w:szCs w:val="22"/>
                    </w:rPr>
                  </w:pPr>
                </w:p>
              </w:tc>
              <w:tc>
                <w:tcPr>
                  <w:tcW w:w="1378" w:type="dxa"/>
                  <w:vMerge w:val="continue"/>
                  <w:tcBorders>
                    <w:tl2br w:val="nil"/>
                    <w:tr2bl w:val="nil"/>
                  </w:tcBorders>
                  <w:vAlign w:val="center"/>
                </w:tcPr>
                <w:p w14:paraId="458D2A81">
                  <w:pPr>
                    <w:jc w:val="center"/>
                    <w:rPr>
                      <w:rFonts w:hint="default" w:ascii="Times New Roman" w:hAnsi="Times New Roman" w:cs="Times New Roman"/>
                      <w:sz w:val="22"/>
                      <w:szCs w:val="22"/>
                    </w:rPr>
                  </w:pPr>
                </w:p>
              </w:tc>
            </w:tr>
            <w:tr w14:paraId="701E03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598" w:type="dxa"/>
                  <w:vMerge w:val="continue"/>
                  <w:tcBorders>
                    <w:tl2br w:val="nil"/>
                    <w:tr2bl w:val="nil"/>
                  </w:tcBorders>
                  <w:vAlign w:val="center"/>
                </w:tcPr>
                <w:p w14:paraId="1FD48837">
                  <w:pPr>
                    <w:jc w:val="center"/>
                    <w:rPr>
                      <w:rFonts w:hint="default" w:ascii="Times New Roman" w:hAnsi="Times New Roman" w:cs="Times New Roman"/>
                      <w:sz w:val="22"/>
                      <w:szCs w:val="22"/>
                    </w:rPr>
                  </w:pPr>
                </w:p>
              </w:tc>
              <w:tc>
                <w:tcPr>
                  <w:tcW w:w="1275" w:type="dxa"/>
                  <w:tcBorders>
                    <w:tl2br w:val="nil"/>
                    <w:tr2bl w:val="nil"/>
                  </w:tcBorders>
                  <w:vAlign w:val="center"/>
                </w:tcPr>
                <w:p w14:paraId="6BB6FDC3">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DA003</w:t>
                  </w:r>
                </w:p>
              </w:tc>
              <w:tc>
                <w:tcPr>
                  <w:tcW w:w="1520" w:type="dxa"/>
                  <w:vMerge w:val="continue"/>
                  <w:tcBorders>
                    <w:tl2br w:val="nil"/>
                    <w:tr2bl w:val="nil"/>
                  </w:tcBorders>
                  <w:vAlign w:val="center"/>
                </w:tcPr>
                <w:p w14:paraId="151C5568">
                  <w:pPr>
                    <w:jc w:val="center"/>
                    <w:rPr>
                      <w:rFonts w:hint="default" w:ascii="Times New Roman" w:hAnsi="Times New Roman" w:cs="Times New Roman"/>
                      <w:sz w:val="22"/>
                      <w:szCs w:val="22"/>
                    </w:rPr>
                  </w:pPr>
                </w:p>
              </w:tc>
              <w:tc>
                <w:tcPr>
                  <w:tcW w:w="1145" w:type="dxa"/>
                  <w:vMerge w:val="continue"/>
                  <w:tcBorders>
                    <w:tl2br w:val="nil"/>
                    <w:tr2bl w:val="nil"/>
                  </w:tcBorders>
                  <w:vAlign w:val="center"/>
                </w:tcPr>
                <w:p w14:paraId="731C3ACE">
                  <w:pPr>
                    <w:jc w:val="center"/>
                    <w:rPr>
                      <w:rFonts w:hint="default" w:ascii="Times New Roman" w:hAnsi="Times New Roman" w:cs="Times New Roman"/>
                      <w:sz w:val="22"/>
                      <w:szCs w:val="22"/>
                    </w:rPr>
                  </w:pPr>
                </w:p>
              </w:tc>
              <w:tc>
                <w:tcPr>
                  <w:tcW w:w="1304" w:type="dxa"/>
                  <w:vMerge w:val="continue"/>
                  <w:tcBorders>
                    <w:tl2br w:val="nil"/>
                    <w:tr2bl w:val="nil"/>
                  </w:tcBorders>
                  <w:vAlign w:val="center"/>
                </w:tcPr>
                <w:p w14:paraId="555B9CBB">
                  <w:pPr>
                    <w:jc w:val="center"/>
                    <w:rPr>
                      <w:rFonts w:hint="default" w:ascii="Times New Roman" w:hAnsi="Times New Roman" w:cs="Times New Roman"/>
                      <w:sz w:val="22"/>
                      <w:szCs w:val="22"/>
                    </w:rPr>
                  </w:pPr>
                </w:p>
              </w:tc>
              <w:tc>
                <w:tcPr>
                  <w:tcW w:w="1378" w:type="dxa"/>
                  <w:vMerge w:val="continue"/>
                  <w:tcBorders>
                    <w:tl2br w:val="nil"/>
                    <w:tr2bl w:val="nil"/>
                  </w:tcBorders>
                  <w:vAlign w:val="center"/>
                </w:tcPr>
                <w:p w14:paraId="00212325">
                  <w:pPr>
                    <w:jc w:val="center"/>
                    <w:rPr>
                      <w:rFonts w:hint="default" w:ascii="Times New Roman" w:hAnsi="Times New Roman" w:cs="Times New Roman"/>
                      <w:sz w:val="22"/>
                      <w:szCs w:val="22"/>
                    </w:rPr>
                  </w:pPr>
                </w:p>
              </w:tc>
            </w:tr>
          </w:tbl>
          <w:p w14:paraId="4E2E375C">
            <w:pPr>
              <w:pStyle w:val="33"/>
              <w:spacing w:line="240" w:lineRule="auto"/>
              <w:ind w:left="0" w:lef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eastAsia="zh-CN"/>
              </w:rPr>
              <w:t>表</w:t>
            </w:r>
            <w:r>
              <w:rPr>
                <w:rFonts w:hint="default" w:ascii="Times New Roman" w:hAnsi="Times New Roman" w:eastAsia="宋体" w:cs="Times New Roman"/>
                <w:b/>
                <w:bCs/>
                <w:color w:val="auto"/>
                <w:highlight w:val="none"/>
                <w:lang w:val="en-US" w:eastAsia="zh-CN"/>
              </w:rPr>
              <w:t>3.4 厂区内 VOCs 无组织排放限值</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401"/>
              <w:gridCol w:w="1616"/>
              <w:gridCol w:w="1386"/>
              <w:gridCol w:w="2499"/>
            </w:tblGrid>
            <w:tr w14:paraId="5637E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10" w:type="dxa"/>
                  <w:tcBorders>
                    <w:tl2br w:val="nil"/>
                    <w:tr2bl w:val="nil"/>
                  </w:tcBorders>
                  <w:vAlign w:val="center"/>
                </w:tcPr>
                <w:p w14:paraId="64B64CE9">
                  <w:pPr>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污染物</w:t>
                  </w:r>
                </w:p>
              </w:tc>
              <w:tc>
                <w:tcPr>
                  <w:tcW w:w="1382" w:type="dxa"/>
                  <w:tcBorders>
                    <w:tl2br w:val="nil"/>
                    <w:tr2bl w:val="nil"/>
                  </w:tcBorders>
                  <w:vAlign w:val="center"/>
                </w:tcPr>
                <w:p w14:paraId="287DEFCA">
                  <w:pPr>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sz w:val="21"/>
                      <w:szCs w:val="21"/>
                      <w:highlight w:val="none"/>
                      <w:vertAlign w:val="baseline"/>
                      <w:lang w:val="en-US" w:eastAsia="zh-CN"/>
                    </w:rPr>
                    <w:t>监控浓度限值（mg/m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w:t>
                  </w:r>
                </w:p>
              </w:tc>
              <w:tc>
                <w:tcPr>
                  <w:tcW w:w="1594" w:type="dxa"/>
                  <w:tcBorders>
                    <w:tl2br w:val="nil"/>
                    <w:tr2bl w:val="nil"/>
                  </w:tcBorders>
                  <w:vAlign w:val="center"/>
                </w:tcPr>
                <w:p w14:paraId="2FB76275">
                  <w:pPr>
                    <w:snapToGrid w:val="0"/>
                    <w:jc w:val="center"/>
                    <w:rPr>
                      <w:rFonts w:hint="default" w:ascii="Times New Roman" w:hAnsi="Times New Roman" w:cs="Times New Roman"/>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lang w:eastAsia="zh-CN"/>
                    </w:rPr>
                    <w:t>限值含义</w:t>
                  </w:r>
                </w:p>
              </w:tc>
              <w:tc>
                <w:tcPr>
                  <w:tcW w:w="1367" w:type="dxa"/>
                  <w:tcBorders>
                    <w:tl2br w:val="nil"/>
                    <w:tr2bl w:val="nil"/>
                  </w:tcBorders>
                  <w:vAlign w:val="center"/>
                </w:tcPr>
                <w:p w14:paraId="2031BE03">
                  <w:pPr>
                    <w:snapToGrid w:val="0"/>
                    <w:jc w:val="center"/>
                    <w:rPr>
                      <w:rFonts w:hint="default" w:ascii="Times New Roman" w:hAnsi="Times New Roman" w:cs="Times New Roman"/>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lang w:eastAsia="zh-CN"/>
                    </w:rPr>
                    <w:t>无组织排放监控位置</w:t>
                  </w:r>
                </w:p>
              </w:tc>
              <w:tc>
                <w:tcPr>
                  <w:tcW w:w="2465" w:type="dxa"/>
                  <w:tcBorders>
                    <w:tl2br w:val="nil"/>
                    <w:tr2bl w:val="nil"/>
                  </w:tcBorders>
                  <w:vAlign w:val="center"/>
                </w:tcPr>
                <w:p w14:paraId="287D28A0">
                  <w:pPr>
                    <w:snapToGrid w:val="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b/>
                      <w:bCs/>
                      <w:color w:val="auto"/>
                      <w:kern w:val="0"/>
                      <w:sz w:val="21"/>
                      <w:szCs w:val="21"/>
                      <w:highlight w:val="none"/>
                      <w:lang w:eastAsia="zh-CN"/>
                    </w:rPr>
                    <w:t>标准来源</w:t>
                  </w:r>
                </w:p>
              </w:tc>
            </w:tr>
            <w:tr w14:paraId="29404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10" w:type="dxa"/>
                  <w:vMerge w:val="restart"/>
                  <w:tcBorders>
                    <w:tl2br w:val="nil"/>
                    <w:tr2bl w:val="nil"/>
                  </w:tcBorders>
                  <w:vAlign w:val="center"/>
                </w:tcPr>
                <w:p w14:paraId="51EEF538">
                  <w:pPr>
                    <w:snapToGrid w:val="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非甲烷总烃（</w:t>
                  </w:r>
                  <w:r>
                    <w:rPr>
                      <w:rFonts w:hint="default" w:ascii="Times New Roman" w:hAnsi="Times New Roman" w:cs="Times New Roman"/>
                      <w:color w:val="auto"/>
                      <w:kern w:val="0"/>
                      <w:sz w:val="21"/>
                      <w:szCs w:val="21"/>
                      <w:highlight w:val="none"/>
                      <w:lang w:val="en-US" w:eastAsia="zh-CN"/>
                    </w:rPr>
                    <w:t>NMHC</w:t>
                  </w:r>
                  <w:r>
                    <w:rPr>
                      <w:rFonts w:hint="default" w:ascii="Times New Roman" w:hAnsi="Times New Roman" w:cs="Times New Roman"/>
                      <w:color w:val="auto"/>
                      <w:kern w:val="0"/>
                      <w:sz w:val="21"/>
                      <w:szCs w:val="21"/>
                      <w:highlight w:val="none"/>
                      <w:lang w:eastAsia="zh-CN"/>
                    </w:rPr>
                    <w:t>）</w:t>
                  </w:r>
                </w:p>
              </w:tc>
              <w:tc>
                <w:tcPr>
                  <w:tcW w:w="1382" w:type="dxa"/>
                  <w:tcBorders>
                    <w:tl2br w:val="nil"/>
                    <w:tr2bl w:val="nil"/>
                  </w:tcBorders>
                  <w:vAlign w:val="center"/>
                </w:tcPr>
                <w:p w14:paraId="4441CDE7">
                  <w:pPr>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w:t>
                  </w:r>
                </w:p>
              </w:tc>
              <w:tc>
                <w:tcPr>
                  <w:tcW w:w="1594" w:type="dxa"/>
                  <w:tcBorders>
                    <w:tl2br w:val="nil"/>
                    <w:tr2bl w:val="nil"/>
                  </w:tcBorders>
                  <w:vAlign w:val="center"/>
                </w:tcPr>
                <w:p w14:paraId="4AFACA5D">
                  <w:pPr>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监控点处1h平均浓度值</w:t>
                  </w:r>
                </w:p>
              </w:tc>
              <w:tc>
                <w:tcPr>
                  <w:tcW w:w="1367" w:type="dxa"/>
                  <w:vMerge w:val="restart"/>
                  <w:tcBorders>
                    <w:tl2br w:val="nil"/>
                    <w:tr2bl w:val="nil"/>
                  </w:tcBorders>
                  <w:vAlign w:val="center"/>
                </w:tcPr>
                <w:p w14:paraId="4D0E5919">
                  <w:pPr>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在厂房外设置监控点</w:t>
                  </w:r>
                </w:p>
              </w:tc>
              <w:tc>
                <w:tcPr>
                  <w:tcW w:w="2465" w:type="dxa"/>
                  <w:vMerge w:val="restart"/>
                  <w:tcBorders>
                    <w:tl2br w:val="nil"/>
                    <w:tr2bl w:val="nil"/>
                  </w:tcBorders>
                  <w:vAlign w:val="center"/>
                </w:tcPr>
                <w:p w14:paraId="72EAA137">
                  <w:pPr>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江苏省地方标准《大气污染物综合排放标准》（DB32/4041-2021）表2 </w:t>
                  </w:r>
                </w:p>
              </w:tc>
            </w:tr>
            <w:tr w14:paraId="13114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0" w:type="dxa"/>
                  <w:vMerge w:val="continue"/>
                  <w:tcBorders>
                    <w:tl2br w:val="nil"/>
                    <w:tr2bl w:val="nil"/>
                  </w:tcBorders>
                  <w:vAlign w:val="center"/>
                </w:tcPr>
                <w:p w14:paraId="43699213">
                  <w:pPr>
                    <w:snapToGrid w:val="0"/>
                    <w:jc w:val="center"/>
                    <w:rPr>
                      <w:rFonts w:hint="default" w:ascii="Times New Roman" w:hAnsi="Times New Roman" w:eastAsia="宋体" w:cs="Times New Roman"/>
                      <w:color w:val="auto"/>
                      <w:kern w:val="0"/>
                      <w:sz w:val="21"/>
                      <w:szCs w:val="21"/>
                      <w:highlight w:val="none"/>
                      <w:lang w:val="en-US" w:eastAsia="zh-CN" w:bidi="ar-SA"/>
                    </w:rPr>
                  </w:pPr>
                </w:p>
              </w:tc>
              <w:tc>
                <w:tcPr>
                  <w:tcW w:w="1382" w:type="dxa"/>
                  <w:tcBorders>
                    <w:tl2br w:val="nil"/>
                    <w:tr2bl w:val="nil"/>
                  </w:tcBorders>
                  <w:vAlign w:val="center"/>
                </w:tcPr>
                <w:p w14:paraId="616A6DA5">
                  <w:pPr>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20</w:t>
                  </w:r>
                </w:p>
              </w:tc>
              <w:tc>
                <w:tcPr>
                  <w:tcW w:w="1594" w:type="dxa"/>
                  <w:tcBorders>
                    <w:tl2br w:val="nil"/>
                    <w:tr2bl w:val="nil"/>
                  </w:tcBorders>
                  <w:vAlign w:val="center"/>
                </w:tcPr>
                <w:p w14:paraId="555DE617">
                  <w:pPr>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监控点处任意一次浓度值</w:t>
                  </w:r>
                </w:p>
              </w:tc>
              <w:tc>
                <w:tcPr>
                  <w:tcW w:w="1367" w:type="dxa"/>
                  <w:vMerge w:val="continue"/>
                  <w:tcBorders>
                    <w:tl2br w:val="nil"/>
                    <w:tr2bl w:val="nil"/>
                  </w:tcBorders>
                  <w:vAlign w:val="center"/>
                </w:tcPr>
                <w:p w14:paraId="6EE960E2">
                  <w:pPr>
                    <w:snapToGrid w:val="0"/>
                    <w:jc w:val="center"/>
                    <w:rPr>
                      <w:rFonts w:hint="default" w:ascii="Times New Roman" w:hAnsi="Times New Roman" w:eastAsia="宋体" w:cs="Times New Roman"/>
                      <w:color w:val="auto"/>
                      <w:kern w:val="0"/>
                      <w:sz w:val="21"/>
                      <w:szCs w:val="21"/>
                      <w:highlight w:val="none"/>
                      <w:lang w:val="en-US" w:eastAsia="zh-CN" w:bidi="ar-SA"/>
                    </w:rPr>
                  </w:pPr>
                </w:p>
              </w:tc>
              <w:tc>
                <w:tcPr>
                  <w:tcW w:w="2465" w:type="dxa"/>
                  <w:vMerge w:val="continue"/>
                  <w:tcBorders>
                    <w:tl2br w:val="nil"/>
                    <w:tr2bl w:val="nil"/>
                  </w:tcBorders>
                  <w:vAlign w:val="center"/>
                </w:tcPr>
                <w:p w14:paraId="778F315C">
                  <w:pPr>
                    <w:snapToGrid w:val="0"/>
                    <w:jc w:val="center"/>
                    <w:rPr>
                      <w:rFonts w:hint="default" w:ascii="Times New Roman" w:hAnsi="Times New Roman" w:eastAsia="宋体" w:cs="Times New Roman"/>
                      <w:color w:val="auto"/>
                      <w:kern w:val="0"/>
                      <w:sz w:val="21"/>
                      <w:szCs w:val="21"/>
                      <w:highlight w:val="none"/>
                    </w:rPr>
                  </w:pPr>
                </w:p>
              </w:tc>
            </w:tr>
          </w:tbl>
          <w:p w14:paraId="2F9E464E">
            <w:pPr>
              <w:spacing w:line="360" w:lineRule="auto"/>
              <w:rPr>
                <w:rFonts w:hint="default" w:ascii="Times New Roman" w:hAnsi="Times New Roman" w:cs="Times New Roman"/>
                <w:b/>
                <w:bCs/>
                <w:spacing w:val="4"/>
                <w:sz w:val="24"/>
              </w:rPr>
            </w:pPr>
            <w:r>
              <w:rPr>
                <w:rFonts w:hint="default" w:ascii="Times New Roman" w:hAnsi="Times New Roman" w:cs="Times New Roman"/>
                <w:b/>
                <w:bCs/>
                <w:spacing w:val="4"/>
                <w:sz w:val="24"/>
              </w:rPr>
              <w:t>（2）废水排放标准</w:t>
            </w:r>
          </w:p>
          <w:p w14:paraId="39FA9D0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本项目运营期生产废水</w:t>
            </w:r>
            <w:r>
              <w:rPr>
                <w:rFonts w:hint="default" w:ascii="Times New Roman" w:hAnsi="Times New Roman" w:cs="Times New Roman"/>
                <w:sz w:val="24"/>
                <w:lang w:eastAsia="zh-CN"/>
              </w:rPr>
              <w:t>、</w:t>
            </w:r>
            <w:r>
              <w:rPr>
                <w:rFonts w:hint="default" w:ascii="Times New Roman" w:hAnsi="Times New Roman" w:cs="Times New Roman"/>
                <w:sz w:val="24"/>
              </w:rPr>
              <w:t>生活污水达到六圩污水处理厂接管标准排入市政管网，最后</w:t>
            </w:r>
            <w:r>
              <w:rPr>
                <w:rFonts w:hint="eastAsia" w:cs="Times New Roman"/>
                <w:sz w:val="24"/>
                <w:lang w:val="en-US" w:eastAsia="zh-CN"/>
              </w:rPr>
              <w:t>经</w:t>
            </w:r>
            <w:r>
              <w:rPr>
                <w:rFonts w:hint="default" w:ascii="Times New Roman" w:hAnsi="Times New Roman" w:cs="Times New Roman"/>
                <w:sz w:val="24"/>
              </w:rPr>
              <w:t>六圩污水处理厂处理达到《城镇污水处理厂污染物排放标准》（GB 18918-2002）中一级A标准后，排入地表水体，具体标准限值见下表。</w:t>
            </w:r>
          </w:p>
          <w:p w14:paraId="47C34C03">
            <w:pPr>
              <w:spacing w:line="360" w:lineRule="auto"/>
              <w:jc w:val="center"/>
              <w:rPr>
                <w:rFonts w:hint="default" w:ascii="Times New Roman" w:hAnsi="Times New Roman" w:eastAsia="新宋体" w:cs="Times New Roman"/>
                <w:sz w:val="24"/>
              </w:rPr>
            </w:pPr>
            <w:r>
              <w:rPr>
                <w:rFonts w:hint="default" w:ascii="Times New Roman" w:hAnsi="Times New Roman" w:cs="Times New Roman"/>
                <w:b/>
                <w:bCs/>
                <w:sz w:val="24"/>
              </w:rPr>
              <w:t>表3.5  本项目水污染物接管标准一览表（单位：mg/L）</w:t>
            </w:r>
          </w:p>
          <w:tbl>
            <w:tblPr>
              <w:tblStyle w:val="13"/>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53"/>
              <w:gridCol w:w="3150"/>
              <w:gridCol w:w="2617"/>
            </w:tblGrid>
            <w:tr w14:paraId="5E2EC9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453" w:type="dxa"/>
                  <w:tcBorders>
                    <w:tl2br w:val="nil"/>
                    <w:tr2bl w:val="nil"/>
                  </w:tcBorders>
                  <w:vAlign w:val="center"/>
                </w:tcPr>
                <w:p w14:paraId="55A21747">
                  <w:pPr>
                    <w:jc w:val="center"/>
                    <w:rPr>
                      <w:rFonts w:hint="default" w:ascii="Times New Roman" w:hAnsi="Times New Roman" w:cs="Times New Roman"/>
                      <w:b/>
                      <w:sz w:val="22"/>
                      <w:szCs w:val="22"/>
                    </w:rPr>
                  </w:pPr>
                  <w:r>
                    <w:rPr>
                      <w:rFonts w:hint="default" w:ascii="Times New Roman" w:hAnsi="Times New Roman" w:cs="Times New Roman"/>
                      <w:b/>
                      <w:sz w:val="22"/>
                      <w:szCs w:val="22"/>
                    </w:rPr>
                    <w:t>项目</w:t>
                  </w:r>
                </w:p>
              </w:tc>
              <w:tc>
                <w:tcPr>
                  <w:tcW w:w="3150" w:type="dxa"/>
                  <w:tcBorders>
                    <w:tl2br w:val="nil"/>
                    <w:tr2bl w:val="nil"/>
                  </w:tcBorders>
                  <w:vAlign w:val="center"/>
                </w:tcPr>
                <w:p w14:paraId="7139797D">
                  <w:pPr>
                    <w:jc w:val="center"/>
                    <w:rPr>
                      <w:rFonts w:hint="default" w:ascii="Times New Roman" w:hAnsi="Times New Roman" w:cs="Times New Roman"/>
                      <w:b/>
                      <w:w w:val="95"/>
                      <w:sz w:val="22"/>
                      <w:szCs w:val="22"/>
                    </w:rPr>
                  </w:pPr>
                  <w:r>
                    <w:rPr>
                      <w:rFonts w:hint="default" w:ascii="Times New Roman" w:hAnsi="Times New Roman" w:cs="Times New Roman"/>
                      <w:b/>
                      <w:sz w:val="22"/>
                      <w:szCs w:val="22"/>
                    </w:rPr>
                    <w:t>接管标准</w:t>
                  </w:r>
                </w:p>
              </w:tc>
              <w:tc>
                <w:tcPr>
                  <w:tcW w:w="2617" w:type="dxa"/>
                  <w:tcBorders>
                    <w:tl2br w:val="nil"/>
                    <w:tr2bl w:val="nil"/>
                  </w:tcBorders>
                  <w:vAlign w:val="center"/>
                </w:tcPr>
                <w:p w14:paraId="2832FA36">
                  <w:pPr>
                    <w:jc w:val="center"/>
                    <w:rPr>
                      <w:rFonts w:hint="default" w:ascii="Times New Roman" w:hAnsi="Times New Roman" w:cs="Times New Roman"/>
                      <w:b/>
                      <w:sz w:val="22"/>
                      <w:szCs w:val="22"/>
                    </w:rPr>
                  </w:pPr>
                  <w:r>
                    <w:rPr>
                      <w:rFonts w:hint="default" w:ascii="Times New Roman" w:hAnsi="Times New Roman" w:cs="Times New Roman"/>
                      <w:b/>
                      <w:sz w:val="22"/>
                      <w:szCs w:val="22"/>
                    </w:rPr>
                    <w:t>排放标准</w:t>
                  </w:r>
                </w:p>
              </w:tc>
            </w:tr>
            <w:tr w14:paraId="104E0D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453" w:type="dxa"/>
                  <w:tcBorders>
                    <w:tl2br w:val="nil"/>
                    <w:tr2bl w:val="nil"/>
                  </w:tcBorders>
                  <w:vAlign w:val="center"/>
                </w:tcPr>
                <w:p w14:paraId="110888DA">
                  <w:pPr>
                    <w:jc w:val="center"/>
                    <w:rPr>
                      <w:rFonts w:hint="default" w:ascii="Times New Roman" w:hAnsi="Times New Roman" w:cs="Times New Roman"/>
                      <w:sz w:val="22"/>
                      <w:szCs w:val="22"/>
                    </w:rPr>
                  </w:pPr>
                  <w:r>
                    <w:rPr>
                      <w:rFonts w:hint="default" w:ascii="Times New Roman" w:hAnsi="Times New Roman" w:cs="Times New Roman"/>
                      <w:sz w:val="22"/>
                      <w:szCs w:val="22"/>
                    </w:rPr>
                    <w:t>pH（无量纲</w:t>
                  </w:r>
                  <w:r>
                    <w:rPr>
                      <w:rFonts w:hint="default" w:ascii="Times New Roman" w:hAnsi="Times New Roman" w:cs="Times New Roman"/>
                      <w:spacing w:val="-13"/>
                      <w:sz w:val="22"/>
                      <w:szCs w:val="22"/>
                    </w:rPr>
                    <w:t>）</w:t>
                  </w:r>
                </w:p>
              </w:tc>
              <w:tc>
                <w:tcPr>
                  <w:tcW w:w="3150" w:type="dxa"/>
                  <w:tcBorders>
                    <w:tl2br w:val="nil"/>
                    <w:tr2bl w:val="nil"/>
                  </w:tcBorders>
                  <w:vAlign w:val="center"/>
                </w:tcPr>
                <w:p w14:paraId="29538AF4">
                  <w:pPr>
                    <w:jc w:val="center"/>
                    <w:rPr>
                      <w:rFonts w:hint="default" w:ascii="Times New Roman" w:hAnsi="Times New Roman" w:cs="Times New Roman"/>
                      <w:sz w:val="22"/>
                      <w:szCs w:val="22"/>
                    </w:rPr>
                  </w:pPr>
                  <w:r>
                    <w:rPr>
                      <w:rFonts w:hint="default" w:ascii="Times New Roman" w:hAnsi="Times New Roman" w:cs="Times New Roman"/>
                      <w:sz w:val="22"/>
                      <w:szCs w:val="22"/>
                    </w:rPr>
                    <w:t>≤6～9</w:t>
                  </w:r>
                </w:p>
              </w:tc>
              <w:tc>
                <w:tcPr>
                  <w:tcW w:w="2617" w:type="dxa"/>
                  <w:tcBorders>
                    <w:tl2br w:val="nil"/>
                    <w:tr2bl w:val="nil"/>
                  </w:tcBorders>
                  <w:vAlign w:val="center"/>
                </w:tcPr>
                <w:p w14:paraId="4584DDA8">
                  <w:pPr>
                    <w:jc w:val="center"/>
                    <w:rPr>
                      <w:rFonts w:hint="default" w:ascii="Times New Roman" w:hAnsi="Times New Roman" w:cs="Times New Roman"/>
                      <w:sz w:val="22"/>
                      <w:szCs w:val="22"/>
                    </w:rPr>
                  </w:pPr>
                  <w:r>
                    <w:rPr>
                      <w:rFonts w:hint="default" w:ascii="Times New Roman" w:hAnsi="Times New Roman" w:cs="Times New Roman"/>
                      <w:sz w:val="22"/>
                      <w:szCs w:val="22"/>
                    </w:rPr>
                    <w:t>≤6～9</w:t>
                  </w:r>
                </w:p>
              </w:tc>
            </w:tr>
            <w:tr w14:paraId="17D6BC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453" w:type="dxa"/>
                  <w:tcBorders>
                    <w:tl2br w:val="nil"/>
                    <w:tr2bl w:val="nil"/>
                  </w:tcBorders>
                  <w:vAlign w:val="center"/>
                </w:tcPr>
                <w:p w14:paraId="67FA1F76">
                  <w:pPr>
                    <w:jc w:val="center"/>
                    <w:rPr>
                      <w:rFonts w:hint="default" w:ascii="Times New Roman" w:hAnsi="Times New Roman" w:cs="Times New Roman"/>
                      <w:sz w:val="22"/>
                      <w:szCs w:val="22"/>
                    </w:rPr>
                  </w:pPr>
                  <w:r>
                    <w:rPr>
                      <w:rFonts w:hint="default" w:ascii="Times New Roman" w:hAnsi="Times New Roman" w:cs="Times New Roman"/>
                      <w:sz w:val="22"/>
                      <w:szCs w:val="22"/>
                    </w:rPr>
                    <w:t>COD</w:t>
                  </w:r>
                </w:p>
              </w:tc>
              <w:tc>
                <w:tcPr>
                  <w:tcW w:w="3150" w:type="dxa"/>
                  <w:tcBorders>
                    <w:tl2br w:val="nil"/>
                    <w:tr2bl w:val="nil"/>
                  </w:tcBorders>
                  <w:vAlign w:val="center"/>
                </w:tcPr>
                <w:p w14:paraId="25689B4E">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500</w:t>
                  </w:r>
                </w:p>
              </w:tc>
              <w:tc>
                <w:tcPr>
                  <w:tcW w:w="2617" w:type="dxa"/>
                  <w:tcBorders>
                    <w:tl2br w:val="nil"/>
                    <w:tr2bl w:val="nil"/>
                  </w:tcBorders>
                  <w:vAlign w:val="center"/>
                </w:tcPr>
                <w:p w14:paraId="64521F60">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50</w:t>
                  </w:r>
                </w:p>
              </w:tc>
            </w:tr>
            <w:tr w14:paraId="5EDF7A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453" w:type="dxa"/>
                  <w:tcBorders>
                    <w:tl2br w:val="nil"/>
                    <w:tr2bl w:val="nil"/>
                  </w:tcBorders>
                  <w:vAlign w:val="center"/>
                </w:tcPr>
                <w:p w14:paraId="66B12B39">
                  <w:pPr>
                    <w:jc w:val="center"/>
                    <w:rPr>
                      <w:rFonts w:hint="default" w:ascii="Times New Roman" w:hAnsi="Times New Roman" w:cs="Times New Roman"/>
                      <w:sz w:val="22"/>
                      <w:szCs w:val="22"/>
                    </w:rPr>
                  </w:pPr>
                  <w:r>
                    <w:rPr>
                      <w:rFonts w:hint="default" w:ascii="Times New Roman" w:hAnsi="Times New Roman" w:cs="Times New Roman"/>
                      <w:sz w:val="22"/>
                      <w:szCs w:val="22"/>
                    </w:rPr>
                    <w:t>SS</w:t>
                  </w:r>
                </w:p>
              </w:tc>
              <w:tc>
                <w:tcPr>
                  <w:tcW w:w="3150" w:type="dxa"/>
                  <w:tcBorders>
                    <w:tl2br w:val="nil"/>
                    <w:tr2bl w:val="nil"/>
                  </w:tcBorders>
                  <w:vAlign w:val="center"/>
                </w:tcPr>
                <w:p w14:paraId="7B3ADD94">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400</w:t>
                  </w:r>
                </w:p>
              </w:tc>
              <w:tc>
                <w:tcPr>
                  <w:tcW w:w="2617" w:type="dxa"/>
                  <w:tcBorders>
                    <w:tl2br w:val="nil"/>
                    <w:tr2bl w:val="nil"/>
                  </w:tcBorders>
                  <w:vAlign w:val="center"/>
                </w:tcPr>
                <w:p w14:paraId="74CCCD28">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10</w:t>
                  </w:r>
                </w:p>
              </w:tc>
            </w:tr>
            <w:tr w14:paraId="0827B2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453" w:type="dxa"/>
                  <w:tcBorders>
                    <w:tl2br w:val="nil"/>
                    <w:tr2bl w:val="nil"/>
                  </w:tcBorders>
                  <w:vAlign w:val="center"/>
                </w:tcPr>
                <w:p w14:paraId="42F5B4B6">
                  <w:pPr>
                    <w:jc w:val="center"/>
                    <w:rPr>
                      <w:rFonts w:hint="default" w:ascii="Times New Roman" w:hAnsi="Times New Roman" w:cs="Times New Roman"/>
                      <w:sz w:val="22"/>
                      <w:szCs w:val="22"/>
                    </w:rPr>
                  </w:pPr>
                  <w:r>
                    <w:rPr>
                      <w:rFonts w:hint="default" w:ascii="Times New Roman" w:hAnsi="Times New Roman" w:cs="Times New Roman"/>
                      <w:position w:val="2"/>
                      <w:sz w:val="22"/>
                      <w:szCs w:val="22"/>
                    </w:rPr>
                    <w:t>NH</w:t>
                  </w:r>
                  <w:r>
                    <w:rPr>
                      <w:rFonts w:hint="default" w:ascii="Times New Roman" w:hAnsi="Times New Roman" w:cs="Times New Roman"/>
                      <w:position w:val="2"/>
                      <w:sz w:val="22"/>
                      <w:szCs w:val="22"/>
                      <w:vertAlign w:val="subscript"/>
                    </w:rPr>
                    <w:t>3</w:t>
                  </w:r>
                  <w:r>
                    <w:rPr>
                      <w:rFonts w:hint="default" w:ascii="Times New Roman" w:hAnsi="Times New Roman" w:cs="Times New Roman"/>
                      <w:position w:val="2"/>
                      <w:sz w:val="22"/>
                      <w:szCs w:val="22"/>
                    </w:rPr>
                    <w:t>-N</w:t>
                  </w:r>
                </w:p>
              </w:tc>
              <w:tc>
                <w:tcPr>
                  <w:tcW w:w="3150" w:type="dxa"/>
                  <w:tcBorders>
                    <w:tl2br w:val="nil"/>
                    <w:tr2bl w:val="nil"/>
                  </w:tcBorders>
                  <w:vAlign w:val="center"/>
                </w:tcPr>
                <w:p w14:paraId="1B7D5F6A">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45</w:t>
                  </w:r>
                </w:p>
              </w:tc>
              <w:tc>
                <w:tcPr>
                  <w:tcW w:w="2617" w:type="dxa"/>
                  <w:tcBorders>
                    <w:tl2br w:val="nil"/>
                    <w:tr2bl w:val="nil"/>
                  </w:tcBorders>
                  <w:vAlign w:val="center"/>
                </w:tcPr>
                <w:p w14:paraId="29C47ACC">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5（8）</w:t>
                  </w:r>
                </w:p>
              </w:tc>
            </w:tr>
            <w:tr w14:paraId="3C4AE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453" w:type="dxa"/>
                  <w:tcBorders>
                    <w:tl2br w:val="nil"/>
                    <w:tr2bl w:val="nil"/>
                  </w:tcBorders>
                  <w:vAlign w:val="center"/>
                </w:tcPr>
                <w:p w14:paraId="30370044">
                  <w:pPr>
                    <w:jc w:val="center"/>
                    <w:rPr>
                      <w:rFonts w:hint="default" w:ascii="Times New Roman" w:hAnsi="Times New Roman" w:cs="Times New Roman"/>
                      <w:position w:val="2"/>
                      <w:sz w:val="22"/>
                      <w:szCs w:val="22"/>
                    </w:rPr>
                  </w:pPr>
                  <w:r>
                    <w:rPr>
                      <w:rFonts w:hint="default" w:ascii="Times New Roman" w:hAnsi="Times New Roman" w:cs="Times New Roman"/>
                      <w:position w:val="2"/>
                      <w:sz w:val="22"/>
                      <w:szCs w:val="22"/>
                    </w:rPr>
                    <w:t>TN</w:t>
                  </w:r>
                </w:p>
              </w:tc>
              <w:tc>
                <w:tcPr>
                  <w:tcW w:w="3150" w:type="dxa"/>
                  <w:tcBorders>
                    <w:tl2br w:val="nil"/>
                    <w:tr2bl w:val="nil"/>
                  </w:tcBorders>
                  <w:vAlign w:val="center"/>
                </w:tcPr>
                <w:p w14:paraId="7BA1857D">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0</w:t>
                  </w:r>
                </w:p>
              </w:tc>
              <w:tc>
                <w:tcPr>
                  <w:tcW w:w="2617" w:type="dxa"/>
                  <w:tcBorders>
                    <w:tl2br w:val="nil"/>
                    <w:tr2bl w:val="nil"/>
                  </w:tcBorders>
                  <w:vAlign w:val="center"/>
                </w:tcPr>
                <w:p w14:paraId="21C37656">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lang w:val="en-US" w:eastAsia="zh-CN"/>
                    </w:rPr>
                    <w:t>15</w:t>
                  </w:r>
                </w:p>
              </w:tc>
            </w:tr>
            <w:tr w14:paraId="2D7CF4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453" w:type="dxa"/>
                  <w:tcBorders>
                    <w:tl2br w:val="nil"/>
                    <w:tr2bl w:val="nil"/>
                  </w:tcBorders>
                  <w:vAlign w:val="center"/>
                </w:tcPr>
                <w:p w14:paraId="2967866D">
                  <w:pPr>
                    <w:jc w:val="center"/>
                    <w:rPr>
                      <w:rFonts w:hint="default" w:ascii="Times New Roman" w:hAnsi="Times New Roman" w:cs="Times New Roman"/>
                      <w:sz w:val="22"/>
                      <w:szCs w:val="22"/>
                    </w:rPr>
                  </w:pPr>
                  <w:r>
                    <w:rPr>
                      <w:rFonts w:hint="default" w:ascii="Times New Roman" w:hAnsi="Times New Roman" w:cs="Times New Roman"/>
                      <w:sz w:val="22"/>
                      <w:szCs w:val="22"/>
                    </w:rPr>
                    <w:t>TP</w:t>
                  </w:r>
                </w:p>
              </w:tc>
              <w:tc>
                <w:tcPr>
                  <w:tcW w:w="3150" w:type="dxa"/>
                  <w:tcBorders>
                    <w:tl2br w:val="nil"/>
                    <w:tr2bl w:val="nil"/>
                  </w:tcBorders>
                  <w:vAlign w:val="center"/>
                </w:tcPr>
                <w:p w14:paraId="4F5E0A95">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8</w:t>
                  </w:r>
                </w:p>
              </w:tc>
              <w:tc>
                <w:tcPr>
                  <w:tcW w:w="2617" w:type="dxa"/>
                  <w:tcBorders>
                    <w:tl2br w:val="nil"/>
                    <w:tr2bl w:val="nil"/>
                  </w:tcBorders>
                  <w:vAlign w:val="center"/>
                </w:tcPr>
                <w:p w14:paraId="6EF14893">
                  <w:pPr>
                    <w:spacing w:line="240" w:lineRule="auto"/>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color w:val="auto"/>
                      <w:sz w:val="21"/>
                      <w:szCs w:val="21"/>
                    </w:rPr>
                    <w:t>0.5</w:t>
                  </w:r>
                </w:p>
              </w:tc>
            </w:tr>
            <w:tr w14:paraId="252415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8220" w:type="dxa"/>
                  <w:gridSpan w:val="3"/>
                  <w:tcBorders>
                    <w:tl2br w:val="nil"/>
                    <w:tr2bl w:val="nil"/>
                  </w:tcBorders>
                  <w:vAlign w:val="center"/>
                </w:tcPr>
                <w:p w14:paraId="3B50F4EC">
                  <w:pPr>
                    <w:jc w:val="left"/>
                    <w:rPr>
                      <w:rFonts w:hint="default" w:ascii="Times New Roman" w:hAnsi="Times New Roman" w:cs="Times New Roman"/>
                      <w:sz w:val="22"/>
                      <w:szCs w:val="22"/>
                    </w:rPr>
                  </w:pPr>
                  <w:r>
                    <w:rPr>
                      <w:rFonts w:hint="default" w:ascii="Times New Roman" w:hAnsi="Times New Roman" w:cs="Times New Roman"/>
                      <w:sz w:val="22"/>
                      <w:szCs w:val="22"/>
                    </w:rPr>
                    <w:t>②括号外数值为水温&gt;12℃时的控制指标，括号内数值为水温≤12℃时的控制指标</w:t>
                  </w:r>
                </w:p>
              </w:tc>
            </w:tr>
          </w:tbl>
          <w:p w14:paraId="7A9ABA14">
            <w:pPr>
              <w:spacing w:line="360" w:lineRule="auto"/>
              <w:ind w:firstLine="498" w:firstLineChars="200"/>
              <w:rPr>
                <w:rFonts w:hint="default" w:ascii="Times New Roman" w:hAnsi="Times New Roman" w:cs="Times New Roman"/>
                <w:b/>
                <w:bCs/>
                <w:spacing w:val="4"/>
                <w:sz w:val="24"/>
              </w:rPr>
            </w:pPr>
            <w:r>
              <w:rPr>
                <w:rFonts w:hint="default" w:ascii="Times New Roman" w:hAnsi="Times New Roman" w:cs="Times New Roman"/>
                <w:b/>
                <w:bCs/>
                <w:spacing w:val="4"/>
                <w:sz w:val="24"/>
              </w:rPr>
              <w:t>（3）噪声</w:t>
            </w:r>
          </w:p>
          <w:p w14:paraId="1D91E44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厂界噪声执行《工业企业厂界环境噪声排放标准》（GB12348-2008）规定的3类标准值，详见下表。</w:t>
            </w:r>
          </w:p>
          <w:p w14:paraId="24ED15E2">
            <w:pPr>
              <w:jc w:val="center"/>
              <w:rPr>
                <w:rFonts w:hint="default" w:ascii="Times New Roman" w:hAnsi="Times New Roman" w:cs="Times New Roman"/>
                <w:b/>
                <w:bCs/>
                <w:sz w:val="24"/>
              </w:rPr>
            </w:pPr>
            <w:r>
              <w:rPr>
                <w:rFonts w:hint="default" w:ascii="Times New Roman" w:hAnsi="Times New Roman" w:cs="Times New Roman"/>
                <w:b/>
                <w:bCs/>
                <w:sz w:val="24"/>
              </w:rPr>
              <w:t>表3.6  《工业企业厂界环境噪声排放标准》（GB12348－2008）dB（A）</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3089"/>
              <w:gridCol w:w="3091"/>
            </w:tblGrid>
            <w:tr w14:paraId="0820E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2047" w:type="dxa"/>
                  <w:vAlign w:val="center"/>
                </w:tcPr>
                <w:p w14:paraId="1298873B">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项目</w:t>
                  </w:r>
                </w:p>
              </w:tc>
              <w:tc>
                <w:tcPr>
                  <w:tcW w:w="3086" w:type="dxa"/>
                  <w:vAlign w:val="center"/>
                </w:tcPr>
                <w:p w14:paraId="5ECE1E16">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昼  间</w:t>
                  </w:r>
                </w:p>
              </w:tc>
              <w:tc>
                <w:tcPr>
                  <w:tcW w:w="3087" w:type="dxa"/>
                  <w:vAlign w:val="center"/>
                </w:tcPr>
                <w:p w14:paraId="48CE9D76">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夜  间</w:t>
                  </w:r>
                </w:p>
              </w:tc>
            </w:tr>
            <w:tr w14:paraId="440AB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2047" w:type="dxa"/>
                  <w:vAlign w:val="center"/>
                </w:tcPr>
                <w:p w14:paraId="40C9EA73">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3类标准值</w:t>
                  </w:r>
                </w:p>
              </w:tc>
              <w:tc>
                <w:tcPr>
                  <w:tcW w:w="3086" w:type="dxa"/>
                  <w:vAlign w:val="center"/>
                </w:tcPr>
                <w:p w14:paraId="0B1F4CBD">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65</w:t>
                  </w:r>
                </w:p>
              </w:tc>
              <w:tc>
                <w:tcPr>
                  <w:tcW w:w="3087" w:type="dxa"/>
                  <w:vAlign w:val="center"/>
                </w:tcPr>
                <w:p w14:paraId="0861543D">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55</w:t>
                  </w:r>
                </w:p>
              </w:tc>
            </w:tr>
          </w:tbl>
          <w:p w14:paraId="0C5BDB7C">
            <w:pPr>
              <w:spacing w:line="360" w:lineRule="auto"/>
              <w:ind w:firstLine="498" w:firstLineChars="200"/>
              <w:rPr>
                <w:rFonts w:hint="default" w:ascii="Times New Roman" w:hAnsi="Times New Roman" w:cs="Times New Roman"/>
                <w:b/>
                <w:bCs/>
                <w:spacing w:val="4"/>
                <w:sz w:val="24"/>
              </w:rPr>
            </w:pPr>
            <w:r>
              <w:rPr>
                <w:rFonts w:hint="default" w:ascii="Times New Roman" w:hAnsi="Times New Roman" w:cs="Times New Roman"/>
                <w:b/>
                <w:bCs/>
                <w:spacing w:val="4"/>
                <w:sz w:val="24"/>
              </w:rPr>
              <w:t>（4）固体废物</w:t>
            </w:r>
          </w:p>
          <w:p w14:paraId="06531F4B">
            <w:pPr>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项目产生的一般工业固体废物执行《一般工业固体废物贮存、处置场污染控制标准》（GB18599-2020）中相关规定；危险废物执行《危险废物贮存污染控制标准》（GB18597-2023）中相关规定、《危险废物收集、贮存、运输技术规范》（HJ2025-2012）、</w:t>
            </w:r>
            <w:r>
              <w:rPr>
                <w:rFonts w:hint="default" w:ascii="Times New Roman" w:hAnsi="Times New Roman" w:cs="Times New Roman"/>
                <w:sz w:val="24"/>
                <w:lang w:eastAsia="zh-CN"/>
              </w:rPr>
              <w:t>《江苏省固体废物全过程环境监管工作意见的通知》（苏环办[2024]16号）</w:t>
            </w:r>
            <w:r>
              <w:rPr>
                <w:rFonts w:hint="default" w:ascii="Times New Roman" w:hAnsi="Times New Roman" w:cs="Times New Roman"/>
                <w:sz w:val="24"/>
              </w:rPr>
              <w:t>的相关要求执行。</w:t>
            </w:r>
          </w:p>
        </w:tc>
      </w:tr>
      <w:tr w14:paraId="625A4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515" w:type="dxa"/>
            <w:vAlign w:val="center"/>
          </w:tcPr>
          <w:p w14:paraId="2F953CD2">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总量</w:t>
            </w:r>
          </w:p>
          <w:p w14:paraId="3CCA124F">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控制</w:t>
            </w:r>
          </w:p>
          <w:p w14:paraId="0CB8E781">
            <w:pPr>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指标</w:t>
            </w:r>
          </w:p>
        </w:tc>
        <w:tc>
          <w:tcPr>
            <w:tcW w:w="8475" w:type="dxa"/>
            <w:vAlign w:val="center"/>
          </w:tcPr>
          <w:p w14:paraId="0041799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项目污染物排放总量控制指标见下表。</w:t>
            </w:r>
          </w:p>
          <w:p w14:paraId="69E1CFDD">
            <w:pPr>
              <w:jc w:val="center"/>
              <w:rPr>
                <w:rFonts w:hint="default" w:ascii="Times New Roman" w:hAnsi="Times New Roman" w:cs="Times New Roman"/>
                <w:b/>
                <w:bCs/>
                <w:sz w:val="24"/>
              </w:rPr>
            </w:pPr>
            <w:r>
              <w:rPr>
                <w:rFonts w:hint="default" w:ascii="Times New Roman" w:hAnsi="Times New Roman" w:cs="Times New Roman"/>
                <w:b/>
                <w:bCs/>
                <w:sz w:val="24"/>
              </w:rPr>
              <w:t>表 3.7  项目建成后污染物排放总量控制指标表  t/a</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23"/>
              <w:gridCol w:w="1326"/>
              <w:gridCol w:w="959"/>
              <w:gridCol w:w="1087"/>
              <w:gridCol w:w="919"/>
              <w:gridCol w:w="1024"/>
              <w:gridCol w:w="1000"/>
            </w:tblGrid>
            <w:tr w14:paraId="13F41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914" w:type="dxa"/>
                  <w:gridSpan w:val="2"/>
                  <w:vAlign w:val="center"/>
                </w:tcPr>
                <w:p w14:paraId="6C18D2D5">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类别</w:t>
                  </w:r>
                </w:p>
              </w:tc>
              <w:tc>
                <w:tcPr>
                  <w:tcW w:w="1326" w:type="dxa"/>
                  <w:vAlign w:val="center"/>
                </w:tcPr>
                <w:p w14:paraId="3D2D2B2C">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总量控制</w:t>
                  </w:r>
                </w:p>
              </w:tc>
              <w:tc>
                <w:tcPr>
                  <w:tcW w:w="959" w:type="dxa"/>
                  <w:vAlign w:val="center"/>
                </w:tcPr>
                <w:p w14:paraId="4B3EBE8F">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产生量</w:t>
                  </w:r>
                </w:p>
              </w:tc>
              <w:tc>
                <w:tcPr>
                  <w:tcW w:w="1087" w:type="dxa"/>
                  <w:vAlign w:val="center"/>
                </w:tcPr>
                <w:p w14:paraId="5B08EE0E">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削减量</w:t>
                  </w:r>
                </w:p>
              </w:tc>
              <w:tc>
                <w:tcPr>
                  <w:tcW w:w="919" w:type="dxa"/>
                  <w:vAlign w:val="center"/>
                </w:tcPr>
                <w:p w14:paraId="706C2D28">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预测排放量</w:t>
                  </w:r>
                </w:p>
              </w:tc>
              <w:tc>
                <w:tcPr>
                  <w:tcW w:w="1024" w:type="dxa"/>
                  <w:vAlign w:val="center"/>
                </w:tcPr>
                <w:p w14:paraId="0BBB7D99">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排入外环境的量</w:t>
                  </w:r>
                </w:p>
              </w:tc>
              <w:tc>
                <w:tcPr>
                  <w:tcW w:w="1000" w:type="dxa"/>
                  <w:vAlign w:val="center"/>
                </w:tcPr>
                <w:p w14:paraId="63FB402B">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本次申请量</w:t>
                  </w:r>
                </w:p>
              </w:tc>
            </w:tr>
            <w:tr w14:paraId="7602A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1" w:type="dxa"/>
                  <w:vMerge w:val="restart"/>
                  <w:vAlign w:val="center"/>
                </w:tcPr>
                <w:p w14:paraId="65527B89">
                  <w:pPr>
                    <w:widowControl/>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废气</w:t>
                  </w:r>
                </w:p>
              </w:tc>
              <w:tc>
                <w:tcPr>
                  <w:tcW w:w="1223" w:type="dxa"/>
                  <w:vAlign w:val="center"/>
                </w:tcPr>
                <w:p w14:paraId="53E5FFC4">
                  <w:pPr>
                    <w:widowControl/>
                    <w:jc w:val="center"/>
                    <w:textAlignment w:val="center"/>
                    <w:rPr>
                      <w:rFonts w:hint="default" w:ascii="Times New Roman" w:hAnsi="Times New Roman" w:cs="Times New Roman"/>
                      <w:b w:val="0"/>
                      <w:bCs w:val="0"/>
                      <w:szCs w:val="21"/>
                    </w:rPr>
                  </w:pPr>
                  <w:r>
                    <w:rPr>
                      <w:rFonts w:hint="default" w:ascii="Times New Roman" w:hAnsi="Times New Roman" w:cs="Times New Roman"/>
                      <w:b w:val="0"/>
                      <w:bCs w:val="0"/>
                      <w:szCs w:val="21"/>
                    </w:rPr>
                    <w:t>有组织</w:t>
                  </w:r>
                </w:p>
              </w:tc>
              <w:tc>
                <w:tcPr>
                  <w:tcW w:w="1326" w:type="dxa"/>
                  <w:vAlign w:val="center"/>
                </w:tcPr>
                <w:p w14:paraId="222D1F75">
                  <w:pPr>
                    <w:widowControl/>
                    <w:jc w:val="center"/>
                    <w:textAlignment w:val="center"/>
                    <w:rPr>
                      <w:rFonts w:hint="default" w:ascii="Times New Roman" w:hAnsi="Times New Roman" w:cs="Times New Roman"/>
                      <w:b w:val="0"/>
                      <w:bCs w:val="0"/>
                      <w:szCs w:val="21"/>
                    </w:rPr>
                  </w:pPr>
                  <w:r>
                    <w:rPr>
                      <w:rFonts w:hint="default" w:ascii="Times New Roman" w:hAnsi="Times New Roman" w:cs="Times New Roman"/>
                      <w:b w:val="0"/>
                      <w:bCs w:val="0"/>
                      <w:szCs w:val="21"/>
                    </w:rPr>
                    <w:t>非甲烷总烃</w:t>
                  </w:r>
                </w:p>
              </w:tc>
              <w:tc>
                <w:tcPr>
                  <w:tcW w:w="959" w:type="dxa"/>
                  <w:vAlign w:val="center"/>
                </w:tcPr>
                <w:p w14:paraId="20AD8C3C">
                  <w:pPr>
                    <w:widowControl/>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1087" w:type="dxa"/>
                  <w:vAlign w:val="center"/>
                </w:tcPr>
                <w:p w14:paraId="7D20A397">
                  <w:pPr>
                    <w:widowControl/>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919" w:type="dxa"/>
                  <w:vAlign w:val="center"/>
                </w:tcPr>
                <w:p w14:paraId="5D72AAEC">
                  <w:pPr>
                    <w:widowControl/>
                    <w:spacing w:line="320" w:lineRule="exact"/>
                    <w:jc w:val="center"/>
                    <w:rPr>
                      <w:rFonts w:hint="default" w:ascii="Times New Roman" w:hAnsi="Times New Roman" w:eastAsia="宋体" w:cs="Times New Roman"/>
                      <w:b w:val="0"/>
                      <w:bCs w:val="0"/>
                      <w:kern w:val="0"/>
                      <w:szCs w:val="21"/>
                      <w:lang w:val="en-US" w:eastAsia="zh-CN"/>
                    </w:rPr>
                  </w:pPr>
                  <w:r>
                    <w:rPr>
                      <w:rFonts w:hint="eastAsia" w:cs="Times New Roman"/>
                      <w:color w:val="auto"/>
                      <w:sz w:val="24"/>
                      <w:szCs w:val="24"/>
                      <w:highlight w:val="none"/>
                      <w:lang w:val="en-US" w:eastAsia="zh-CN"/>
                    </w:rPr>
                    <w:t>***</w:t>
                  </w:r>
                </w:p>
              </w:tc>
              <w:tc>
                <w:tcPr>
                  <w:tcW w:w="1024" w:type="dxa"/>
                  <w:vAlign w:val="center"/>
                </w:tcPr>
                <w:p w14:paraId="783EA7E5">
                  <w:pPr>
                    <w:widowControl/>
                    <w:spacing w:line="320" w:lineRule="exact"/>
                    <w:jc w:val="center"/>
                    <w:rPr>
                      <w:rFonts w:hint="default" w:ascii="Times New Roman" w:hAnsi="Times New Roman" w:eastAsia="宋体" w:cs="Times New Roman"/>
                      <w:b w:val="0"/>
                      <w:bCs w:val="0"/>
                      <w:kern w:val="0"/>
                      <w:szCs w:val="21"/>
                      <w:lang w:val="en-US" w:eastAsia="zh-CN"/>
                    </w:rPr>
                  </w:pPr>
                  <w:r>
                    <w:rPr>
                      <w:rFonts w:hint="eastAsia" w:cs="Times New Roman"/>
                      <w:color w:val="auto"/>
                      <w:sz w:val="24"/>
                      <w:szCs w:val="24"/>
                      <w:highlight w:val="none"/>
                      <w:lang w:val="en-US" w:eastAsia="zh-CN"/>
                    </w:rPr>
                    <w:t>***</w:t>
                  </w:r>
                </w:p>
              </w:tc>
              <w:tc>
                <w:tcPr>
                  <w:tcW w:w="1000" w:type="dxa"/>
                  <w:vAlign w:val="center"/>
                </w:tcPr>
                <w:p w14:paraId="57063076">
                  <w:pPr>
                    <w:widowControl/>
                    <w:spacing w:line="320" w:lineRule="exact"/>
                    <w:jc w:val="center"/>
                    <w:rPr>
                      <w:rFonts w:hint="default" w:ascii="Times New Roman" w:hAnsi="Times New Roman" w:eastAsia="宋体" w:cs="Times New Roman"/>
                      <w:b w:val="0"/>
                      <w:bCs w:val="0"/>
                      <w:kern w:val="0"/>
                      <w:szCs w:val="21"/>
                      <w:lang w:val="en-US" w:eastAsia="zh-CN"/>
                    </w:rPr>
                  </w:pPr>
                  <w:r>
                    <w:rPr>
                      <w:rFonts w:hint="eastAsia" w:cs="Times New Roman"/>
                      <w:color w:val="auto"/>
                      <w:sz w:val="24"/>
                      <w:szCs w:val="24"/>
                      <w:highlight w:val="none"/>
                      <w:lang w:val="en-US" w:eastAsia="zh-CN"/>
                    </w:rPr>
                    <w:t>***</w:t>
                  </w:r>
                </w:p>
              </w:tc>
            </w:tr>
            <w:tr w14:paraId="667C3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1" w:type="dxa"/>
                  <w:vMerge w:val="continue"/>
                  <w:vAlign w:val="center"/>
                </w:tcPr>
                <w:p w14:paraId="5E4AF988">
                  <w:pPr>
                    <w:widowControl/>
                    <w:spacing w:line="320" w:lineRule="exact"/>
                    <w:jc w:val="center"/>
                    <w:rPr>
                      <w:rFonts w:hint="default" w:ascii="Times New Roman" w:hAnsi="Times New Roman" w:cs="Times New Roman"/>
                      <w:b w:val="0"/>
                      <w:bCs w:val="0"/>
                      <w:szCs w:val="21"/>
                    </w:rPr>
                  </w:pPr>
                </w:p>
              </w:tc>
              <w:tc>
                <w:tcPr>
                  <w:tcW w:w="1223" w:type="dxa"/>
                  <w:vAlign w:val="center"/>
                </w:tcPr>
                <w:p w14:paraId="0AE20610">
                  <w:pPr>
                    <w:widowControl/>
                    <w:jc w:val="center"/>
                    <w:textAlignment w:val="center"/>
                    <w:rPr>
                      <w:rFonts w:hint="default" w:ascii="Times New Roman" w:hAnsi="Times New Roman" w:cs="Times New Roman"/>
                      <w:b w:val="0"/>
                      <w:bCs w:val="0"/>
                      <w:szCs w:val="21"/>
                    </w:rPr>
                  </w:pPr>
                  <w:r>
                    <w:rPr>
                      <w:rFonts w:hint="default" w:ascii="Times New Roman" w:hAnsi="Times New Roman" w:cs="Times New Roman"/>
                      <w:b w:val="0"/>
                      <w:bCs w:val="0"/>
                      <w:szCs w:val="21"/>
                    </w:rPr>
                    <w:t>无组织</w:t>
                  </w:r>
                </w:p>
              </w:tc>
              <w:tc>
                <w:tcPr>
                  <w:tcW w:w="1326" w:type="dxa"/>
                  <w:vAlign w:val="center"/>
                </w:tcPr>
                <w:p w14:paraId="1A3FA8EC">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非甲烷总烃</w:t>
                  </w:r>
                </w:p>
              </w:tc>
              <w:tc>
                <w:tcPr>
                  <w:tcW w:w="959" w:type="dxa"/>
                  <w:vAlign w:val="center"/>
                </w:tcPr>
                <w:p w14:paraId="3FA4CF4A">
                  <w:pPr>
                    <w:widowControl/>
                    <w:jc w:val="center"/>
                    <w:textAlignment w:val="center"/>
                    <w:rPr>
                      <w:rFonts w:hint="default" w:ascii="Times New Roman" w:hAnsi="Times New Roman" w:eastAsia="宋体" w:cs="Times New Roman"/>
                      <w:b w:val="0"/>
                      <w:bCs w:val="0"/>
                      <w:kern w:val="0"/>
                      <w:szCs w:val="21"/>
                      <w:lang w:val="en-US" w:eastAsia="zh-CN"/>
                    </w:rPr>
                  </w:pPr>
                  <w:r>
                    <w:rPr>
                      <w:rFonts w:hint="eastAsia" w:cs="Times New Roman"/>
                      <w:color w:val="auto"/>
                      <w:sz w:val="24"/>
                      <w:szCs w:val="24"/>
                      <w:highlight w:val="none"/>
                      <w:lang w:val="en-US" w:eastAsia="zh-CN"/>
                    </w:rPr>
                    <w:t>***</w:t>
                  </w:r>
                </w:p>
              </w:tc>
              <w:tc>
                <w:tcPr>
                  <w:tcW w:w="1087" w:type="dxa"/>
                  <w:vAlign w:val="center"/>
                </w:tcPr>
                <w:p w14:paraId="21AE2D2A">
                  <w:pPr>
                    <w:widowControl/>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919" w:type="dxa"/>
                  <w:vAlign w:val="center"/>
                </w:tcPr>
                <w:p w14:paraId="52E4D615">
                  <w:pPr>
                    <w:widowControl/>
                    <w:spacing w:line="320" w:lineRule="exact"/>
                    <w:jc w:val="center"/>
                    <w:rPr>
                      <w:rFonts w:hint="default" w:ascii="Times New Roman" w:hAnsi="Times New Roman" w:eastAsia="宋体" w:cs="Times New Roman"/>
                      <w:b w:val="0"/>
                      <w:bCs w:val="0"/>
                      <w:kern w:val="0"/>
                      <w:szCs w:val="21"/>
                      <w:lang w:val="en-US" w:eastAsia="zh-CN"/>
                    </w:rPr>
                  </w:pPr>
                  <w:r>
                    <w:rPr>
                      <w:rFonts w:hint="eastAsia" w:cs="Times New Roman"/>
                      <w:color w:val="auto"/>
                      <w:sz w:val="24"/>
                      <w:szCs w:val="24"/>
                      <w:highlight w:val="none"/>
                      <w:lang w:val="en-US" w:eastAsia="zh-CN"/>
                    </w:rPr>
                    <w:t>***</w:t>
                  </w:r>
                </w:p>
              </w:tc>
              <w:tc>
                <w:tcPr>
                  <w:tcW w:w="1024" w:type="dxa"/>
                  <w:vAlign w:val="center"/>
                </w:tcPr>
                <w:p w14:paraId="66FEC0B1">
                  <w:pPr>
                    <w:widowControl/>
                    <w:spacing w:line="320" w:lineRule="exact"/>
                    <w:jc w:val="center"/>
                    <w:rPr>
                      <w:rFonts w:hint="default" w:ascii="Times New Roman" w:hAnsi="Times New Roman" w:cs="Times New Roman"/>
                      <w:b w:val="0"/>
                      <w:bCs w:val="0"/>
                      <w:kern w:val="0"/>
                      <w:szCs w:val="21"/>
                      <w:lang w:val="en-US"/>
                    </w:rPr>
                  </w:pPr>
                  <w:r>
                    <w:rPr>
                      <w:rFonts w:hint="eastAsia" w:cs="Times New Roman"/>
                      <w:color w:val="auto"/>
                      <w:sz w:val="24"/>
                      <w:szCs w:val="24"/>
                      <w:highlight w:val="none"/>
                      <w:lang w:val="en-US" w:eastAsia="zh-CN"/>
                    </w:rPr>
                    <w:t>***</w:t>
                  </w:r>
                </w:p>
              </w:tc>
              <w:tc>
                <w:tcPr>
                  <w:tcW w:w="1000" w:type="dxa"/>
                  <w:vAlign w:val="center"/>
                </w:tcPr>
                <w:p w14:paraId="4F92BB67">
                  <w:pPr>
                    <w:widowControl/>
                    <w:spacing w:line="320" w:lineRule="exact"/>
                    <w:jc w:val="center"/>
                    <w:rPr>
                      <w:rFonts w:hint="default" w:ascii="Times New Roman" w:hAnsi="Times New Roman" w:cs="Times New Roman"/>
                      <w:b w:val="0"/>
                      <w:bCs w:val="0"/>
                      <w:kern w:val="0"/>
                      <w:szCs w:val="21"/>
                      <w:lang w:val="en-US"/>
                    </w:rPr>
                  </w:pPr>
                  <w:r>
                    <w:rPr>
                      <w:rFonts w:hint="eastAsia" w:cs="Times New Roman"/>
                      <w:color w:val="auto"/>
                      <w:sz w:val="24"/>
                      <w:szCs w:val="24"/>
                      <w:highlight w:val="none"/>
                      <w:lang w:val="en-US" w:eastAsia="zh-CN"/>
                    </w:rPr>
                    <w:t>***</w:t>
                  </w:r>
                </w:p>
              </w:tc>
            </w:tr>
            <w:tr w14:paraId="5139E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restart"/>
                  <w:vAlign w:val="center"/>
                </w:tcPr>
                <w:p w14:paraId="2BB1DF69">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废水</w:t>
                  </w:r>
                </w:p>
              </w:tc>
              <w:tc>
                <w:tcPr>
                  <w:tcW w:w="1223" w:type="dxa"/>
                  <w:vMerge w:val="restart"/>
                  <w:vAlign w:val="center"/>
                </w:tcPr>
                <w:p w14:paraId="12B3BA84">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生活污水</w:t>
                  </w:r>
                </w:p>
              </w:tc>
              <w:tc>
                <w:tcPr>
                  <w:tcW w:w="1326" w:type="dxa"/>
                  <w:vAlign w:val="center"/>
                </w:tcPr>
                <w:p w14:paraId="541071CC">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水量</w:t>
                  </w:r>
                </w:p>
              </w:tc>
              <w:tc>
                <w:tcPr>
                  <w:tcW w:w="959" w:type="dxa"/>
                  <w:vAlign w:val="center"/>
                </w:tcPr>
                <w:p w14:paraId="3F24EE7C">
                  <w:pPr>
                    <w:widowControl/>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1087" w:type="dxa"/>
                  <w:vAlign w:val="center"/>
                </w:tcPr>
                <w:p w14:paraId="69D94E3A">
                  <w:pPr>
                    <w:widowControl/>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919" w:type="dxa"/>
                  <w:vAlign w:val="center"/>
                </w:tcPr>
                <w:p w14:paraId="1C329E1A">
                  <w:pPr>
                    <w:widowControl/>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1024" w:type="dxa"/>
                  <w:vAlign w:val="center"/>
                </w:tcPr>
                <w:p w14:paraId="3A64C2B0">
                  <w:pPr>
                    <w:widowControl/>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1000" w:type="dxa"/>
                  <w:vAlign w:val="center"/>
                </w:tcPr>
                <w:p w14:paraId="09858BA9">
                  <w:pPr>
                    <w:widowControl/>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r>
            <w:tr w14:paraId="4B8C9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continue"/>
                  <w:vAlign w:val="center"/>
                </w:tcPr>
                <w:p w14:paraId="788B9B47">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0196E5DD">
                  <w:pPr>
                    <w:widowControl/>
                    <w:spacing w:line="320" w:lineRule="exact"/>
                    <w:jc w:val="center"/>
                    <w:rPr>
                      <w:rFonts w:hint="default" w:ascii="Times New Roman" w:hAnsi="Times New Roman" w:cs="Times New Roman"/>
                      <w:b w:val="0"/>
                      <w:bCs w:val="0"/>
                      <w:szCs w:val="21"/>
                    </w:rPr>
                  </w:pPr>
                </w:p>
              </w:tc>
              <w:tc>
                <w:tcPr>
                  <w:tcW w:w="1326" w:type="dxa"/>
                  <w:vAlign w:val="center"/>
                </w:tcPr>
                <w:p w14:paraId="54A40CB8">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COD</w:t>
                  </w:r>
                </w:p>
              </w:tc>
              <w:tc>
                <w:tcPr>
                  <w:tcW w:w="959" w:type="dxa"/>
                  <w:vAlign w:val="center"/>
                </w:tcPr>
                <w:p w14:paraId="3754F315">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87" w:type="dxa"/>
                  <w:vAlign w:val="center"/>
                </w:tcPr>
                <w:p w14:paraId="344506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919" w:type="dxa"/>
                  <w:vAlign w:val="center"/>
                </w:tcPr>
                <w:p w14:paraId="006929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33C3E9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780E4D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r w14:paraId="0AE9F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1" w:type="dxa"/>
                  <w:vMerge w:val="continue"/>
                  <w:vAlign w:val="center"/>
                </w:tcPr>
                <w:p w14:paraId="74E3EF49">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6E58A252">
                  <w:pPr>
                    <w:widowControl/>
                    <w:spacing w:line="320" w:lineRule="exact"/>
                    <w:jc w:val="center"/>
                    <w:rPr>
                      <w:rFonts w:hint="default" w:ascii="Times New Roman" w:hAnsi="Times New Roman" w:cs="Times New Roman"/>
                      <w:b w:val="0"/>
                      <w:bCs w:val="0"/>
                      <w:szCs w:val="21"/>
                    </w:rPr>
                  </w:pPr>
                </w:p>
              </w:tc>
              <w:tc>
                <w:tcPr>
                  <w:tcW w:w="1326" w:type="dxa"/>
                  <w:vAlign w:val="center"/>
                </w:tcPr>
                <w:p w14:paraId="1AA187D2">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SS</w:t>
                  </w:r>
                </w:p>
              </w:tc>
              <w:tc>
                <w:tcPr>
                  <w:tcW w:w="959" w:type="dxa"/>
                  <w:vAlign w:val="center"/>
                </w:tcPr>
                <w:p w14:paraId="5CC88733">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87" w:type="dxa"/>
                  <w:vAlign w:val="center"/>
                </w:tcPr>
                <w:p w14:paraId="361DCB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919" w:type="dxa"/>
                  <w:vAlign w:val="center"/>
                </w:tcPr>
                <w:p w14:paraId="7BBF54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068DDE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207390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r w14:paraId="71118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1" w:type="dxa"/>
                  <w:vMerge w:val="continue"/>
                  <w:vAlign w:val="center"/>
                </w:tcPr>
                <w:p w14:paraId="065BF68E">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7D40183F">
                  <w:pPr>
                    <w:widowControl/>
                    <w:spacing w:line="320" w:lineRule="exact"/>
                    <w:jc w:val="center"/>
                    <w:rPr>
                      <w:rFonts w:hint="default" w:ascii="Times New Roman" w:hAnsi="Times New Roman" w:cs="Times New Roman"/>
                      <w:b w:val="0"/>
                      <w:bCs w:val="0"/>
                      <w:szCs w:val="21"/>
                    </w:rPr>
                  </w:pPr>
                </w:p>
              </w:tc>
              <w:tc>
                <w:tcPr>
                  <w:tcW w:w="1326" w:type="dxa"/>
                  <w:vAlign w:val="center"/>
                </w:tcPr>
                <w:p w14:paraId="65BFF4BF">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NH</w:t>
                  </w:r>
                  <w:r>
                    <w:rPr>
                      <w:rFonts w:hint="default" w:ascii="Times New Roman" w:hAnsi="Times New Roman" w:cs="Times New Roman"/>
                      <w:b w:val="0"/>
                      <w:bCs w:val="0"/>
                      <w:szCs w:val="21"/>
                      <w:vertAlign w:val="subscript"/>
                    </w:rPr>
                    <w:t>3</w:t>
                  </w:r>
                  <w:r>
                    <w:rPr>
                      <w:rFonts w:hint="default" w:ascii="Times New Roman" w:hAnsi="Times New Roman" w:cs="Times New Roman"/>
                      <w:b w:val="0"/>
                      <w:bCs w:val="0"/>
                      <w:szCs w:val="21"/>
                    </w:rPr>
                    <w:t>-N</w:t>
                  </w:r>
                </w:p>
              </w:tc>
              <w:tc>
                <w:tcPr>
                  <w:tcW w:w="959" w:type="dxa"/>
                  <w:vAlign w:val="center"/>
                </w:tcPr>
                <w:p w14:paraId="40931CC6">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87" w:type="dxa"/>
                  <w:vAlign w:val="center"/>
                </w:tcPr>
                <w:p w14:paraId="636938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919" w:type="dxa"/>
                  <w:vAlign w:val="center"/>
                </w:tcPr>
                <w:p w14:paraId="47AC99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4D640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220108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r w14:paraId="571F6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continue"/>
                  <w:vAlign w:val="center"/>
                </w:tcPr>
                <w:p w14:paraId="4C482562">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4A46A6D2">
                  <w:pPr>
                    <w:widowControl/>
                    <w:spacing w:line="320" w:lineRule="exact"/>
                    <w:jc w:val="center"/>
                    <w:rPr>
                      <w:rFonts w:hint="default" w:ascii="Times New Roman" w:hAnsi="Times New Roman" w:cs="Times New Roman"/>
                      <w:b w:val="0"/>
                      <w:bCs w:val="0"/>
                      <w:szCs w:val="21"/>
                    </w:rPr>
                  </w:pPr>
                </w:p>
              </w:tc>
              <w:tc>
                <w:tcPr>
                  <w:tcW w:w="1326" w:type="dxa"/>
                  <w:vAlign w:val="center"/>
                </w:tcPr>
                <w:p w14:paraId="1BDEFF49">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TP</w:t>
                  </w:r>
                </w:p>
              </w:tc>
              <w:tc>
                <w:tcPr>
                  <w:tcW w:w="959" w:type="dxa"/>
                  <w:vAlign w:val="center"/>
                </w:tcPr>
                <w:p w14:paraId="05336FA7">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87" w:type="dxa"/>
                  <w:vAlign w:val="center"/>
                </w:tcPr>
                <w:p w14:paraId="1D82BA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919" w:type="dxa"/>
                  <w:vAlign w:val="center"/>
                </w:tcPr>
                <w:p w14:paraId="7357F4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1D19C9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4E94E9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r w14:paraId="3037F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91" w:type="dxa"/>
                  <w:vMerge w:val="continue"/>
                  <w:vAlign w:val="center"/>
                </w:tcPr>
                <w:p w14:paraId="03B0C8E7">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67093759">
                  <w:pPr>
                    <w:widowControl/>
                    <w:spacing w:line="320" w:lineRule="exact"/>
                    <w:jc w:val="center"/>
                    <w:rPr>
                      <w:rFonts w:hint="default" w:ascii="Times New Roman" w:hAnsi="Times New Roman" w:cs="Times New Roman"/>
                      <w:b w:val="0"/>
                      <w:bCs w:val="0"/>
                      <w:szCs w:val="21"/>
                    </w:rPr>
                  </w:pPr>
                </w:p>
              </w:tc>
              <w:tc>
                <w:tcPr>
                  <w:tcW w:w="1326" w:type="dxa"/>
                  <w:vAlign w:val="center"/>
                </w:tcPr>
                <w:p w14:paraId="58B15062">
                  <w:pPr>
                    <w:spacing w:line="320" w:lineRule="exact"/>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TN</w:t>
                  </w:r>
                </w:p>
              </w:tc>
              <w:tc>
                <w:tcPr>
                  <w:tcW w:w="959" w:type="dxa"/>
                  <w:vAlign w:val="center"/>
                </w:tcPr>
                <w:p w14:paraId="3CE603E4">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87" w:type="dxa"/>
                  <w:vAlign w:val="center"/>
                </w:tcPr>
                <w:p w14:paraId="6EEF63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919" w:type="dxa"/>
                  <w:vAlign w:val="center"/>
                </w:tcPr>
                <w:p w14:paraId="06A8D0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49E360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67FAB1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r w14:paraId="279DA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91" w:type="dxa"/>
                  <w:vMerge w:val="continue"/>
                  <w:vAlign w:val="center"/>
                </w:tcPr>
                <w:p w14:paraId="3C69A71F">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56331C15">
                  <w:pPr>
                    <w:widowControl/>
                    <w:spacing w:line="320" w:lineRule="exact"/>
                    <w:jc w:val="center"/>
                    <w:rPr>
                      <w:rFonts w:hint="default" w:ascii="Times New Roman" w:hAnsi="Times New Roman" w:cs="Times New Roman"/>
                      <w:b w:val="0"/>
                      <w:bCs w:val="0"/>
                      <w:szCs w:val="21"/>
                    </w:rPr>
                  </w:pPr>
                </w:p>
              </w:tc>
              <w:tc>
                <w:tcPr>
                  <w:tcW w:w="1326" w:type="dxa"/>
                  <w:vAlign w:val="center"/>
                </w:tcPr>
                <w:p w14:paraId="38B1CE6D">
                  <w:pPr>
                    <w:spacing w:line="320" w:lineRule="exact"/>
                    <w:jc w:val="center"/>
                    <w:rPr>
                      <w:rFonts w:hint="default" w:ascii="Times New Roman" w:hAnsi="Times New Roman" w:eastAsia="宋体" w:cs="Times New Roman"/>
                      <w:b w:val="0"/>
                      <w:bCs w:val="0"/>
                      <w:szCs w:val="21"/>
                      <w:lang w:val="en-US" w:eastAsia="zh-CN"/>
                    </w:rPr>
                  </w:pPr>
                  <w:r>
                    <w:rPr>
                      <w:rFonts w:hint="default" w:ascii="Times New Roman" w:hAnsi="Times New Roman" w:cs="Times New Roman"/>
                      <w:b w:val="0"/>
                      <w:bCs w:val="0"/>
                      <w:szCs w:val="21"/>
                      <w:lang w:val="en-US" w:eastAsia="zh-CN"/>
                    </w:rPr>
                    <w:t>动植物油</w:t>
                  </w:r>
                </w:p>
              </w:tc>
              <w:tc>
                <w:tcPr>
                  <w:tcW w:w="959" w:type="dxa"/>
                  <w:vAlign w:val="center"/>
                </w:tcPr>
                <w:p w14:paraId="77A3C3A5">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87" w:type="dxa"/>
                  <w:vAlign w:val="center"/>
                </w:tcPr>
                <w:p w14:paraId="7EEC48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919" w:type="dxa"/>
                  <w:vAlign w:val="center"/>
                </w:tcPr>
                <w:p w14:paraId="626B4E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3CFD21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52A51A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r w14:paraId="2F2A7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continue"/>
                  <w:vAlign w:val="center"/>
                </w:tcPr>
                <w:p w14:paraId="24E2AE27">
                  <w:pPr>
                    <w:widowControl/>
                    <w:spacing w:line="320" w:lineRule="exact"/>
                    <w:jc w:val="center"/>
                    <w:rPr>
                      <w:rFonts w:hint="default" w:ascii="Times New Roman" w:hAnsi="Times New Roman" w:cs="Times New Roman"/>
                      <w:b w:val="0"/>
                      <w:bCs w:val="0"/>
                      <w:szCs w:val="21"/>
                    </w:rPr>
                  </w:pPr>
                </w:p>
              </w:tc>
              <w:tc>
                <w:tcPr>
                  <w:tcW w:w="1223" w:type="dxa"/>
                  <w:vMerge w:val="restart"/>
                  <w:vAlign w:val="center"/>
                </w:tcPr>
                <w:p w14:paraId="447A89A8">
                  <w:pPr>
                    <w:jc w:val="center"/>
                    <w:rPr>
                      <w:rFonts w:hint="default" w:ascii="Times New Roman" w:hAnsi="Times New Roman" w:cs="Times New Roman"/>
                      <w:b w:val="0"/>
                      <w:bCs w:val="0"/>
                      <w:szCs w:val="21"/>
                    </w:rPr>
                  </w:pPr>
                  <w:r>
                    <w:rPr>
                      <w:rFonts w:hint="default" w:ascii="Times New Roman" w:hAnsi="Times New Roman" w:cs="Times New Roman"/>
                      <w:b w:val="0"/>
                      <w:bCs w:val="0"/>
                      <w:szCs w:val="21"/>
                      <w:lang w:val="en-US" w:eastAsia="zh-CN"/>
                    </w:rPr>
                    <w:t>生产废水</w:t>
                  </w:r>
                </w:p>
              </w:tc>
              <w:tc>
                <w:tcPr>
                  <w:tcW w:w="1326" w:type="dxa"/>
                  <w:vAlign w:val="center"/>
                </w:tcPr>
                <w:p w14:paraId="5F183827">
                  <w:pPr>
                    <w:jc w:val="center"/>
                    <w:rPr>
                      <w:rFonts w:hint="default" w:ascii="Times New Roman" w:hAnsi="Times New Roman" w:cs="Times New Roman"/>
                      <w:b w:val="0"/>
                      <w:bCs w:val="0"/>
                      <w:kern w:val="0"/>
                      <w:szCs w:val="21"/>
                    </w:rPr>
                  </w:pPr>
                  <w:r>
                    <w:rPr>
                      <w:rFonts w:hint="default" w:ascii="Times New Roman" w:hAnsi="Times New Roman" w:cs="Times New Roman"/>
                      <w:b w:val="0"/>
                      <w:bCs w:val="0"/>
                      <w:kern w:val="0"/>
                      <w:szCs w:val="21"/>
                    </w:rPr>
                    <w:t>水量</w:t>
                  </w:r>
                </w:p>
              </w:tc>
              <w:tc>
                <w:tcPr>
                  <w:tcW w:w="959" w:type="dxa"/>
                  <w:shd w:val="clear" w:color="auto" w:fill="auto"/>
                  <w:vAlign w:val="center"/>
                </w:tcPr>
                <w:p w14:paraId="4B27517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cs="Times New Roman"/>
                      <w:color w:val="auto"/>
                      <w:sz w:val="24"/>
                      <w:szCs w:val="24"/>
                      <w:highlight w:val="none"/>
                      <w:lang w:val="en-US" w:eastAsia="zh-CN"/>
                    </w:rPr>
                    <w:t>***</w:t>
                  </w:r>
                </w:p>
              </w:tc>
              <w:tc>
                <w:tcPr>
                  <w:tcW w:w="1087" w:type="dxa"/>
                  <w:vAlign w:val="center"/>
                </w:tcPr>
                <w:p w14:paraId="6D3250FC">
                  <w:pPr>
                    <w:widowControl/>
                    <w:jc w:val="center"/>
                    <w:textAlignment w:val="center"/>
                    <w:rPr>
                      <w:rFonts w:hint="eastAsia" w:ascii="Times New Roman" w:hAnsi="Times New Roman" w:eastAsia="宋体" w:cs="Times New Roman"/>
                      <w:b w:val="0"/>
                      <w:bCs w:val="0"/>
                      <w:szCs w:val="21"/>
                      <w:lang w:eastAsia="zh-CN"/>
                    </w:rPr>
                  </w:pPr>
                  <w:r>
                    <w:rPr>
                      <w:rFonts w:hint="eastAsia" w:cs="Times New Roman"/>
                      <w:color w:val="auto"/>
                      <w:sz w:val="24"/>
                      <w:szCs w:val="24"/>
                      <w:highlight w:val="none"/>
                      <w:lang w:val="en-US" w:eastAsia="zh-CN"/>
                    </w:rPr>
                    <w:t>***</w:t>
                  </w:r>
                </w:p>
              </w:tc>
              <w:tc>
                <w:tcPr>
                  <w:tcW w:w="919" w:type="dxa"/>
                  <w:vAlign w:val="center"/>
                </w:tcPr>
                <w:p w14:paraId="631E129C">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24" w:type="dxa"/>
                  <w:vAlign w:val="center"/>
                </w:tcPr>
                <w:p w14:paraId="30C9B959">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00" w:type="dxa"/>
                  <w:vAlign w:val="center"/>
                </w:tcPr>
                <w:p w14:paraId="584C34AD">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r>
            <w:tr w14:paraId="642E3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continue"/>
                  <w:vAlign w:val="center"/>
                </w:tcPr>
                <w:p w14:paraId="0D5A3C60">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43BB4782">
                  <w:pPr>
                    <w:jc w:val="center"/>
                    <w:rPr>
                      <w:rFonts w:hint="default" w:ascii="Times New Roman" w:hAnsi="Times New Roman" w:cs="Times New Roman"/>
                      <w:b w:val="0"/>
                      <w:bCs w:val="0"/>
                      <w:szCs w:val="21"/>
                    </w:rPr>
                  </w:pPr>
                </w:p>
              </w:tc>
              <w:tc>
                <w:tcPr>
                  <w:tcW w:w="1326" w:type="dxa"/>
                  <w:vAlign w:val="center"/>
                </w:tcPr>
                <w:p w14:paraId="20F6063F">
                  <w:pPr>
                    <w:widowControl/>
                    <w:jc w:val="center"/>
                    <w:rPr>
                      <w:rFonts w:hint="default" w:ascii="Times New Roman" w:hAnsi="Times New Roman" w:cs="Times New Roman"/>
                      <w:b w:val="0"/>
                      <w:bCs w:val="0"/>
                      <w:szCs w:val="21"/>
                    </w:rPr>
                  </w:pPr>
                  <w:r>
                    <w:rPr>
                      <w:rFonts w:hint="default" w:ascii="Times New Roman" w:hAnsi="Times New Roman" w:cs="Times New Roman"/>
                      <w:b w:val="0"/>
                      <w:bCs w:val="0"/>
                      <w:kern w:val="0"/>
                      <w:szCs w:val="21"/>
                    </w:rPr>
                    <w:t>COD</w:t>
                  </w:r>
                </w:p>
              </w:tc>
              <w:tc>
                <w:tcPr>
                  <w:tcW w:w="959" w:type="dxa"/>
                  <w:vAlign w:val="center"/>
                </w:tcPr>
                <w:p w14:paraId="2611F4FC">
                  <w:pPr>
                    <w:keepNext w:val="0"/>
                    <w:keepLines w:val="0"/>
                    <w:widowControl/>
                    <w:suppressLineNumbers w:val="0"/>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1087" w:type="dxa"/>
                  <w:vAlign w:val="center"/>
                </w:tcPr>
                <w:p w14:paraId="671C41A1">
                  <w:pPr>
                    <w:widowControl/>
                    <w:jc w:val="center"/>
                    <w:textAlignment w:val="center"/>
                    <w:rPr>
                      <w:rFonts w:hint="eastAsia"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919" w:type="dxa"/>
                  <w:vAlign w:val="center"/>
                </w:tcPr>
                <w:p w14:paraId="4750F945">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24" w:type="dxa"/>
                  <w:vAlign w:val="center"/>
                </w:tcPr>
                <w:p w14:paraId="27856220">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00" w:type="dxa"/>
                  <w:vAlign w:val="center"/>
                </w:tcPr>
                <w:p w14:paraId="78818DE9">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r>
            <w:tr w14:paraId="431D7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continue"/>
                  <w:vAlign w:val="center"/>
                </w:tcPr>
                <w:p w14:paraId="4CBCE573">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7B276FC5">
                  <w:pPr>
                    <w:widowControl/>
                    <w:spacing w:line="320" w:lineRule="exact"/>
                    <w:jc w:val="center"/>
                    <w:rPr>
                      <w:rFonts w:hint="default" w:ascii="Times New Roman" w:hAnsi="Times New Roman" w:cs="Times New Roman"/>
                      <w:b w:val="0"/>
                      <w:bCs w:val="0"/>
                      <w:szCs w:val="21"/>
                    </w:rPr>
                  </w:pPr>
                </w:p>
              </w:tc>
              <w:tc>
                <w:tcPr>
                  <w:tcW w:w="1326" w:type="dxa"/>
                  <w:vAlign w:val="center"/>
                </w:tcPr>
                <w:p w14:paraId="6C38004A">
                  <w:pPr>
                    <w:jc w:val="center"/>
                    <w:rPr>
                      <w:rFonts w:hint="default" w:ascii="Times New Roman" w:hAnsi="Times New Roman" w:cs="Times New Roman"/>
                      <w:b w:val="0"/>
                      <w:bCs w:val="0"/>
                      <w:szCs w:val="21"/>
                    </w:rPr>
                  </w:pPr>
                  <w:r>
                    <w:rPr>
                      <w:rFonts w:hint="default" w:ascii="Times New Roman" w:hAnsi="Times New Roman" w:cs="Times New Roman"/>
                      <w:b w:val="0"/>
                      <w:bCs w:val="0"/>
                      <w:kern w:val="0"/>
                      <w:szCs w:val="21"/>
                    </w:rPr>
                    <w:t>SS</w:t>
                  </w:r>
                </w:p>
              </w:tc>
              <w:tc>
                <w:tcPr>
                  <w:tcW w:w="959" w:type="dxa"/>
                  <w:vAlign w:val="center"/>
                </w:tcPr>
                <w:p w14:paraId="3487617B">
                  <w:pPr>
                    <w:keepNext w:val="0"/>
                    <w:keepLines w:val="0"/>
                    <w:widowControl/>
                    <w:suppressLineNumbers w:val="0"/>
                    <w:jc w:val="center"/>
                    <w:textAlignment w:val="center"/>
                    <w:rPr>
                      <w:rFonts w:hint="default"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1087" w:type="dxa"/>
                  <w:vAlign w:val="center"/>
                </w:tcPr>
                <w:p w14:paraId="2A398F0F">
                  <w:pPr>
                    <w:widowControl/>
                    <w:jc w:val="center"/>
                    <w:textAlignment w:val="center"/>
                    <w:rPr>
                      <w:rFonts w:hint="eastAsia" w:ascii="Times New Roman" w:hAnsi="Times New Roman" w:eastAsia="宋体" w:cs="Times New Roman"/>
                      <w:b w:val="0"/>
                      <w:bCs w:val="0"/>
                      <w:szCs w:val="21"/>
                      <w:lang w:val="en-US" w:eastAsia="zh-CN"/>
                    </w:rPr>
                  </w:pPr>
                  <w:r>
                    <w:rPr>
                      <w:rFonts w:hint="eastAsia" w:cs="Times New Roman"/>
                      <w:color w:val="auto"/>
                      <w:sz w:val="24"/>
                      <w:szCs w:val="24"/>
                      <w:highlight w:val="none"/>
                      <w:lang w:val="en-US" w:eastAsia="zh-CN"/>
                    </w:rPr>
                    <w:t>***</w:t>
                  </w:r>
                </w:p>
              </w:tc>
              <w:tc>
                <w:tcPr>
                  <w:tcW w:w="919" w:type="dxa"/>
                  <w:vAlign w:val="center"/>
                </w:tcPr>
                <w:p w14:paraId="54B118C4">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24" w:type="dxa"/>
                  <w:vAlign w:val="center"/>
                </w:tcPr>
                <w:p w14:paraId="01E333C3">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c>
                <w:tcPr>
                  <w:tcW w:w="1000" w:type="dxa"/>
                  <w:vAlign w:val="center"/>
                </w:tcPr>
                <w:p w14:paraId="7ECB2AC4">
                  <w:pPr>
                    <w:keepNext w:val="0"/>
                    <w:keepLines w:val="0"/>
                    <w:widowControl/>
                    <w:suppressLineNumbers w:val="0"/>
                    <w:jc w:val="center"/>
                    <w:textAlignment w:val="center"/>
                    <w:rPr>
                      <w:rFonts w:hint="default" w:ascii="Times New Roman" w:hAnsi="Times New Roman" w:cs="Times New Roman"/>
                      <w:b w:val="0"/>
                      <w:bCs w:val="0"/>
                      <w:szCs w:val="21"/>
                    </w:rPr>
                  </w:pPr>
                  <w:r>
                    <w:rPr>
                      <w:rFonts w:hint="eastAsia" w:cs="Times New Roman"/>
                      <w:color w:val="auto"/>
                      <w:sz w:val="24"/>
                      <w:szCs w:val="24"/>
                      <w:highlight w:val="none"/>
                      <w:lang w:val="en-US" w:eastAsia="zh-CN"/>
                    </w:rPr>
                    <w:t>***</w:t>
                  </w:r>
                </w:p>
              </w:tc>
            </w:tr>
            <w:tr w14:paraId="1AA8E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continue"/>
                  <w:vAlign w:val="center"/>
                </w:tcPr>
                <w:p w14:paraId="41EEB327">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3CD5E581">
                  <w:pPr>
                    <w:widowControl/>
                    <w:spacing w:line="320" w:lineRule="exact"/>
                    <w:jc w:val="center"/>
                    <w:rPr>
                      <w:rFonts w:hint="default" w:ascii="Times New Roman" w:hAnsi="Times New Roman" w:cs="Times New Roman"/>
                      <w:b w:val="0"/>
                      <w:bCs w:val="0"/>
                      <w:szCs w:val="21"/>
                    </w:rPr>
                  </w:pPr>
                </w:p>
              </w:tc>
              <w:tc>
                <w:tcPr>
                  <w:tcW w:w="1326" w:type="dxa"/>
                  <w:vAlign w:val="center"/>
                </w:tcPr>
                <w:p w14:paraId="10E1BC3E">
                  <w:pPr>
                    <w:jc w:val="center"/>
                    <w:rPr>
                      <w:rFonts w:hint="default" w:ascii="Times New Roman" w:hAnsi="Times New Roman" w:eastAsia="宋体" w:cs="Times New Roman"/>
                      <w:b w:val="0"/>
                      <w:bCs w:val="0"/>
                      <w:kern w:val="0"/>
                      <w:szCs w:val="21"/>
                      <w:lang w:val="en-US" w:eastAsia="zh-CN"/>
                    </w:rPr>
                  </w:pPr>
                  <w:r>
                    <w:rPr>
                      <w:rFonts w:hint="eastAsia" w:cs="Times New Roman"/>
                      <w:b w:val="0"/>
                      <w:bCs w:val="0"/>
                      <w:kern w:val="0"/>
                      <w:szCs w:val="21"/>
                      <w:lang w:val="en-US" w:eastAsia="zh-CN"/>
                    </w:rPr>
                    <w:t>石油类</w:t>
                  </w:r>
                </w:p>
              </w:tc>
              <w:tc>
                <w:tcPr>
                  <w:tcW w:w="959" w:type="dxa"/>
                  <w:vAlign w:val="center"/>
                </w:tcPr>
                <w:p w14:paraId="7A6CB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87" w:type="dxa"/>
                  <w:vAlign w:val="center"/>
                </w:tcPr>
                <w:p w14:paraId="318F3274">
                  <w:pPr>
                    <w:widowControl/>
                    <w:jc w:val="center"/>
                    <w:textAlignment w:val="center"/>
                    <w:rPr>
                      <w:rFonts w:hint="default" w:cs="Times New Roman"/>
                      <w:b w:val="0"/>
                      <w:bCs w:val="0"/>
                      <w:szCs w:val="21"/>
                      <w:lang w:val="en-US" w:eastAsia="zh-CN"/>
                    </w:rPr>
                  </w:pPr>
                  <w:r>
                    <w:rPr>
                      <w:rFonts w:hint="eastAsia" w:cs="Times New Roman"/>
                      <w:color w:val="auto"/>
                      <w:sz w:val="24"/>
                      <w:szCs w:val="24"/>
                      <w:highlight w:val="none"/>
                      <w:lang w:val="en-US" w:eastAsia="zh-CN"/>
                    </w:rPr>
                    <w:t>***</w:t>
                  </w:r>
                </w:p>
              </w:tc>
              <w:tc>
                <w:tcPr>
                  <w:tcW w:w="919" w:type="dxa"/>
                  <w:vAlign w:val="center"/>
                </w:tcPr>
                <w:p w14:paraId="04E552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232FFB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3E0C19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r w14:paraId="4A150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1" w:type="dxa"/>
                  <w:vMerge w:val="continue"/>
                  <w:vAlign w:val="center"/>
                </w:tcPr>
                <w:p w14:paraId="4FE5FC9B">
                  <w:pPr>
                    <w:widowControl/>
                    <w:spacing w:line="320" w:lineRule="exact"/>
                    <w:jc w:val="center"/>
                    <w:rPr>
                      <w:rFonts w:hint="default" w:ascii="Times New Roman" w:hAnsi="Times New Roman" w:cs="Times New Roman"/>
                      <w:b w:val="0"/>
                      <w:bCs w:val="0"/>
                      <w:szCs w:val="21"/>
                    </w:rPr>
                  </w:pPr>
                </w:p>
              </w:tc>
              <w:tc>
                <w:tcPr>
                  <w:tcW w:w="1223" w:type="dxa"/>
                  <w:vMerge w:val="continue"/>
                  <w:vAlign w:val="center"/>
                </w:tcPr>
                <w:p w14:paraId="29E36D1E">
                  <w:pPr>
                    <w:widowControl/>
                    <w:spacing w:line="320" w:lineRule="exact"/>
                    <w:jc w:val="center"/>
                    <w:rPr>
                      <w:rFonts w:hint="default" w:ascii="Times New Roman" w:hAnsi="Times New Roman" w:cs="Times New Roman"/>
                      <w:b w:val="0"/>
                      <w:bCs w:val="0"/>
                      <w:szCs w:val="21"/>
                    </w:rPr>
                  </w:pPr>
                </w:p>
              </w:tc>
              <w:tc>
                <w:tcPr>
                  <w:tcW w:w="1326" w:type="dxa"/>
                  <w:vAlign w:val="center"/>
                </w:tcPr>
                <w:p w14:paraId="1C8B94DE">
                  <w:pPr>
                    <w:jc w:val="center"/>
                    <w:rPr>
                      <w:rFonts w:hint="default" w:cs="Times New Roman"/>
                      <w:b w:val="0"/>
                      <w:bCs w:val="0"/>
                      <w:kern w:val="0"/>
                      <w:szCs w:val="21"/>
                      <w:lang w:val="en-US" w:eastAsia="zh-CN"/>
                    </w:rPr>
                  </w:pPr>
                  <w:r>
                    <w:rPr>
                      <w:rFonts w:hint="eastAsia" w:cs="Times New Roman"/>
                      <w:b w:val="0"/>
                      <w:bCs w:val="0"/>
                      <w:kern w:val="0"/>
                      <w:szCs w:val="21"/>
                      <w:lang w:val="en-US" w:eastAsia="zh-CN"/>
                    </w:rPr>
                    <w:t>LAS</w:t>
                  </w:r>
                </w:p>
              </w:tc>
              <w:tc>
                <w:tcPr>
                  <w:tcW w:w="959" w:type="dxa"/>
                  <w:vAlign w:val="center"/>
                </w:tcPr>
                <w:p w14:paraId="2D50E6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87" w:type="dxa"/>
                  <w:vAlign w:val="center"/>
                </w:tcPr>
                <w:p w14:paraId="0BEFA657">
                  <w:pPr>
                    <w:widowControl/>
                    <w:jc w:val="center"/>
                    <w:textAlignment w:val="center"/>
                    <w:rPr>
                      <w:rFonts w:hint="default" w:cs="Times New Roman"/>
                      <w:b w:val="0"/>
                      <w:bCs w:val="0"/>
                      <w:szCs w:val="21"/>
                      <w:lang w:val="en-US" w:eastAsia="zh-CN"/>
                    </w:rPr>
                  </w:pPr>
                  <w:r>
                    <w:rPr>
                      <w:rFonts w:hint="eastAsia" w:cs="Times New Roman"/>
                      <w:color w:val="auto"/>
                      <w:sz w:val="24"/>
                      <w:szCs w:val="24"/>
                      <w:highlight w:val="none"/>
                      <w:lang w:val="en-US" w:eastAsia="zh-CN"/>
                    </w:rPr>
                    <w:t>***</w:t>
                  </w:r>
                </w:p>
              </w:tc>
              <w:tc>
                <w:tcPr>
                  <w:tcW w:w="919" w:type="dxa"/>
                  <w:vAlign w:val="center"/>
                </w:tcPr>
                <w:p w14:paraId="3007E6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24" w:type="dxa"/>
                  <w:vAlign w:val="center"/>
                </w:tcPr>
                <w:p w14:paraId="0E3AA2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39F7A0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color w:val="auto"/>
                      <w:sz w:val="24"/>
                      <w:szCs w:val="24"/>
                      <w:highlight w:val="none"/>
                      <w:lang w:val="en-US" w:eastAsia="zh-CN"/>
                    </w:rPr>
                    <w:t>***</w:t>
                  </w:r>
                </w:p>
              </w:tc>
            </w:tr>
          </w:tbl>
          <w:p w14:paraId="71117EC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3、总量平衡方案</w:t>
            </w:r>
          </w:p>
          <w:p w14:paraId="06C1AEC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废水：本项目生活污水和生产废水</w:t>
            </w:r>
            <w:r>
              <w:rPr>
                <w:rFonts w:hint="default" w:ascii="Times New Roman" w:hAnsi="Times New Roman" w:cs="Times New Roman"/>
                <w:sz w:val="24"/>
                <w:lang w:val="en-US" w:eastAsia="zh-CN"/>
              </w:rPr>
              <w:t>等</w:t>
            </w:r>
            <w:r>
              <w:rPr>
                <w:rFonts w:hint="default" w:ascii="Times New Roman" w:hAnsi="Times New Roman" w:cs="Times New Roman"/>
                <w:sz w:val="24"/>
              </w:rPr>
              <w:t>排放总量在六圩污水处理厂内平衡。</w:t>
            </w:r>
          </w:p>
          <w:p w14:paraId="21C039A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废气：本项目非甲烷总烃排放总量向扬州经济开发区生态环境部门申请，在区域内平衡。</w:t>
            </w:r>
          </w:p>
          <w:p w14:paraId="1E05894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固废：本项目固体废弃物处理处置率100％，外排放量为零，实现固体废物零排放。</w:t>
            </w:r>
          </w:p>
        </w:tc>
      </w:tr>
    </w:tbl>
    <w:p w14:paraId="4228E62B">
      <w:pPr>
        <w:widowControl/>
        <w:jc w:val="center"/>
        <w:outlineLvl w:val="0"/>
        <w:rPr>
          <w:rFonts w:hint="eastAsia" w:ascii="黑体" w:hAnsi="黑体" w:eastAsia="黑体"/>
          <w:snapToGrid w:val="0"/>
          <w:sz w:val="30"/>
          <w:szCs w:val="30"/>
        </w:rPr>
      </w:pPr>
      <w:r>
        <w:rPr>
          <w:rFonts w:ascii="黑体" w:hAnsi="黑体" w:eastAsia="黑体"/>
          <w:snapToGrid w:val="0"/>
          <w:sz w:val="36"/>
          <w:szCs w:val="36"/>
        </w:rPr>
        <w:br w:type="page"/>
      </w:r>
      <w:bookmarkStart w:id="27" w:name="_Toc19652"/>
      <w:bookmarkStart w:id="28" w:name="_Toc8770"/>
      <w:r>
        <w:rPr>
          <w:rFonts w:hint="eastAsia" w:ascii="黑体" w:hAnsi="黑体" w:eastAsia="黑体"/>
          <w:snapToGrid w:val="0"/>
          <w:sz w:val="30"/>
          <w:szCs w:val="30"/>
        </w:rPr>
        <w:t>四、主要环境影响和保护措施</w:t>
      </w:r>
      <w:bookmarkEnd w:id="27"/>
      <w:bookmarkEnd w:id="28"/>
    </w:p>
    <w:tbl>
      <w:tblPr>
        <w:tblStyle w:val="1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9"/>
        <w:gridCol w:w="8359"/>
      </w:tblGrid>
      <w:tr w14:paraId="6723E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549" w:type="dxa"/>
            <w:tcMar>
              <w:left w:w="28" w:type="dxa"/>
              <w:right w:w="28" w:type="dxa"/>
            </w:tcMar>
            <w:vAlign w:val="center"/>
          </w:tcPr>
          <w:p w14:paraId="77088507">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w:t>
            </w:r>
          </w:p>
          <w:p w14:paraId="616C13B3">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期环</w:t>
            </w:r>
          </w:p>
          <w:p w14:paraId="6761C29B">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保措施</w:t>
            </w:r>
          </w:p>
        </w:tc>
        <w:tc>
          <w:tcPr>
            <w:tcW w:w="8359" w:type="dxa"/>
            <w:vAlign w:val="center"/>
          </w:tcPr>
          <w:p w14:paraId="0C5E5397">
            <w:pPr>
              <w:adjustRightInd w:val="0"/>
              <w:snapToGrid w:val="0"/>
              <w:spacing w:line="360" w:lineRule="auto"/>
              <w:ind w:firstLine="480" w:firstLineChars="200"/>
              <w:jc w:val="left"/>
              <w:rPr>
                <w:rFonts w:hint="default" w:ascii="Times New Roman" w:hAnsi="Times New Roman" w:cs="Times New Roman"/>
                <w:bCs/>
                <w:color w:val="auto"/>
                <w:spacing w:val="-10"/>
                <w:szCs w:val="21"/>
                <w:highlight w:val="none"/>
              </w:rPr>
            </w:pPr>
            <w:r>
              <w:rPr>
                <w:rFonts w:hint="default" w:ascii="Times New Roman" w:hAnsi="Times New Roman" w:cs="Times New Roman"/>
                <w:color w:val="auto"/>
                <w:sz w:val="24"/>
                <w:highlight w:val="none"/>
              </w:rPr>
              <w:t>本项目租赁厂房，施工期仅涉及生产设备安装，工程内容较少，环评对施工期环保措施不作具体要求。</w:t>
            </w:r>
          </w:p>
        </w:tc>
      </w:tr>
      <w:tr w14:paraId="72994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tcMar>
              <w:left w:w="28" w:type="dxa"/>
              <w:right w:w="28" w:type="dxa"/>
            </w:tcMar>
            <w:vAlign w:val="center"/>
          </w:tcPr>
          <w:p w14:paraId="320CCC1C">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运营</w:t>
            </w:r>
          </w:p>
          <w:p w14:paraId="1814CF8B">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期环</w:t>
            </w:r>
          </w:p>
          <w:p w14:paraId="3457B686">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境影</w:t>
            </w:r>
          </w:p>
          <w:p w14:paraId="5E06FF53">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响和</w:t>
            </w:r>
          </w:p>
          <w:p w14:paraId="0C17BC2A">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保护</w:t>
            </w:r>
          </w:p>
          <w:p w14:paraId="2E285BB9">
            <w:pPr>
              <w:adjustRightInd w:val="0"/>
              <w:snapToGrid w:val="0"/>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措施</w:t>
            </w:r>
          </w:p>
        </w:tc>
        <w:tc>
          <w:tcPr>
            <w:tcW w:w="8359" w:type="dxa"/>
            <w:vAlign w:val="center"/>
          </w:tcPr>
          <w:p w14:paraId="5AF61DD7">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1、废气</w:t>
            </w:r>
          </w:p>
          <w:p w14:paraId="6FE36E31">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1.1源强核算</w:t>
            </w:r>
          </w:p>
          <w:p w14:paraId="3723D119">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（1）激光划线废气</w:t>
            </w:r>
          </w:p>
          <w:p w14:paraId="46DD2E11">
            <w:pPr>
              <w:adjustRightInd w:val="0"/>
              <w:snapToGrid w:val="0"/>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略</w:t>
            </w:r>
          </w:p>
          <w:p w14:paraId="4DBD7476">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（2）涂布液废气</w:t>
            </w:r>
          </w:p>
          <w:p w14:paraId="07B856F2">
            <w:pPr>
              <w:adjustRightInd w:val="0"/>
              <w:snapToGrid w:val="0"/>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略</w:t>
            </w:r>
          </w:p>
          <w:p w14:paraId="2418866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（3）擦拭废气</w:t>
            </w:r>
          </w:p>
          <w:p w14:paraId="2BDFDD78">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略</w:t>
            </w:r>
          </w:p>
          <w:p w14:paraId="1B1BB0A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（4）清洗废气</w:t>
            </w:r>
          </w:p>
          <w:p w14:paraId="5BD4B9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略</w:t>
            </w:r>
          </w:p>
          <w:p w14:paraId="2F51B2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（5）危废暂存库</w:t>
            </w:r>
            <w:r>
              <w:rPr>
                <w:rFonts w:hint="default" w:ascii="Times New Roman" w:hAnsi="Times New Roman" w:eastAsia="宋体" w:cs="Times New Roman"/>
                <w:b w:val="0"/>
                <w:bCs w:val="0"/>
                <w:color w:val="auto"/>
                <w:sz w:val="24"/>
                <w:szCs w:val="24"/>
                <w:highlight w:val="none"/>
                <w:lang w:val="en-US" w:eastAsia="zh-CN"/>
              </w:rPr>
              <w:t>废气</w:t>
            </w:r>
          </w:p>
          <w:p w14:paraId="3E0D7826">
            <w:pPr>
              <w:adjustRightInd w:val="0"/>
              <w:snapToGrid w:val="0"/>
              <w:spacing w:line="360" w:lineRule="auto"/>
              <w:ind w:firstLine="480" w:firstLineChars="200"/>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略</w:t>
            </w:r>
          </w:p>
          <w:p w14:paraId="19CD802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根据上述核算数据，污染物源强核算结果见表4.1为：</w:t>
            </w:r>
          </w:p>
          <w:p w14:paraId="5AE5EA79">
            <w:pPr>
              <w:pStyle w:val="37"/>
              <w:bidi w:val="0"/>
              <w:rPr>
                <w:rFonts w:hint="default" w:ascii="Times New Roman" w:hAnsi="Times New Roman" w:cs="Times New Roman"/>
              </w:rPr>
            </w:pPr>
            <w:r>
              <w:rPr>
                <w:rFonts w:hint="default" w:ascii="Times New Roman" w:hAnsi="Times New Roman" w:cs="Times New Roman"/>
              </w:rPr>
              <w:t>表 4.1  项目源强核算结果</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1109"/>
              <w:gridCol w:w="885"/>
              <w:gridCol w:w="896"/>
              <w:gridCol w:w="903"/>
              <w:gridCol w:w="962"/>
              <w:gridCol w:w="1020"/>
              <w:gridCol w:w="1113"/>
              <w:gridCol w:w="1225"/>
            </w:tblGrid>
            <w:tr w14:paraId="2AAC62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42" w:hRule="atLeast"/>
                <w:jc w:val="center"/>
              </w:trPr>
              <w:tc>
                <w:tcPr>
                  <w:tcW w:w="1088" w:type="dxa"/>
                  <w:vAlign w:val="center"/>
                </w:tcPr>
                <w:p w14:paraId="1B6BAAB4">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污染源</w:t>
                  </w:r>
                </w:p>
              </w:tc>
              <w:tc>
                <w:tcPr>
                  <w:tcW w:w="868" w:type="dxa"/>
                  <w:vAlign w:val="center"/>
                </w:tcPr>
                <w:p w14:paraId="688999B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产生量kg/a</w:t>
                  </w:r>
                </w:p>
              </w:tc>
              <w:tc>
                <w:tcPr>
                  <w:tcW w:w="878" w:type="dxa"/>
                  <w:vAlign w:val="center"/>
                </w:tcPr>
                <w:p w14:paraId="00DCC033">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收集率</w:t>
                  </w:r>
                </w:p>
              </w:tc>
              <w:tc>
                <w:tcPr>
                  <w:tcW w:w="885" w:type="dxa"/>
                  <w:vAlign w:val="center"/>
                </w:tcPr>
                <w:p w14:paraId="091BD8A0">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去除率</w:t>
                  </w:r>
                </w:p>
              </w:tc>
              <w:tc>
                <w:tcPr>
                  <w:tcW w:w="943" w:type="dxa"/>
                  <w:vAlign w:val="center"/>
                </w:tcPr>
                <w:p w14:paraId="0239E87B">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有组织产生量kg/a</w:t>
                  </w:r>
                </w:p>
              </w:tc>
              <w:tc>
                <w:tcPr>
                  <w:tcW w:w="1000" w:type="dxa"/>
                  <w:vAlign w:val="center"/>
                </w:tcPr>
                <w:p w14:paraId="1F468363">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无组织产生量kg/a</w:t>
                  </w:r>
                </w:p>
              </w:tc>
              <w:tc>
                <w:tcPr>
                  <w:tcW w:w="1091" w:type="dxa"/>
                  <w:vAlign w:val="center"/>
                </w:tcPr>
                <w:p w14:paraId="558BD9D8">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工作时间h/a</w:t>
                  </w:r>
                </w:p>
              </w:tc>
              <w:tc>
                <w:tcPr>
                  <w:tcW w:w="1201" w:type="dxa"/>
                  <w:vAlign w:val="center"/>
                </w:tcPr>
                <w:p w14:paraId="2E24AAAE">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有组织排放量kg/a</w:t>
                  </w:r>
                </w:p>
              </w:tc>
            </w:tr>
            <w:tr w14:paraId="11DEEA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01" w:hRule="atLeast"/>
                <w:jc w:val="center"/>
              </w:trPr>
              <w:tc>
                <w:tcPr>
                  <w:tcW w:w="1088" w:type="dxa"/>
                  <w:vAlign w:val="center"/>
                </w:tcPr>
                <w:p w14:paraId="63A375E1">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1#实验室</w:t>
                  </w:r>
                </w:p>
              </w:tc>
              <w:tc>
                <w:tcPr>
                  <w:tcW w:w="868" w:type="dxa"/>
                  <w:shd w:val="clear" w:color="auto" w:fill="auto"/>
                  <w:vAlign w:val="center"/>
                </w:tcPr>
                <w:p w14:paraId="20F466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878" w:type="dxa"/>
                  <w:vAlign w:val="center"/>
                </w:tcPr>
                <w:p w14:paraId="749569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885" w:type="dxa"/>
                  <w:vAlign w:val="center"/>
                </w:tcPr>
                <w:p w14:paraId="791D753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943" w:type="dxa"/>
                  <w:vAlign w:val="center"/>
                </w:tcPr>
                <w:p w14:paraId="4B4159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5ED2DD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091" w:type="dxa"/>
                  <w:vAlign w:val="center"/>
                </w:tcPr>
                <w:p w14:paraId="22A374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2400</w:t>
                  </w:r>
                </w:p>
              </w:tc>
              <w:tc>
                <w:tcPr>
                  <w:tcW w:w="1201" w:type="dxa"/>
                  <w:vAlign w:val="center"/>
                </w:tcPr>
                <w:p w14:paraId="18CDC6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r>
            <w:tr w14:paraId="4C839A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01" w:hRule="atLeast"/>
                <w:jc w:val="center"/>
              </w:trPr>
              <w:tc>
                <w:tcPr>
                  <w:tcW w:w="1088" w:type="dxa"/>
                  <w:vAlign w:val="center"/>
                </w:tcPr>
                <w:p w14:paraId="782F14C6">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2#实验室</w:t>
                  </w:r>
                </w:p>
              </w:tc>
              <w:tc>
                <w:tcPr>
                  <w:tcW w:w="868" w:type="dxa"/>
                  <w:shd w:val="clear" w:color="auto" w:fill="auto"/>
                  <w:vAlign w:val="center"/>
                </w:tcPr>
                <w:p w14:paraId="2EC2F5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878" w:type="dxa"/>
                  <w:vAlign w:val="center"/>
                </w:tcPr>
                <w:p w14:paraId="03D9A9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885" w:type="dxa"/>
                  <w:vAlign w:val="center"/>
                </w:tcPr>
                <w:p w14:paraId="79498A26">
                  <w:pPr>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943" w:type="dxa"/>
                  <w:vAlign w:val="center"/>
                </w:tcPr>
                <w:p w14:paraId="4749EB84">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39817583">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091" w:type="dxa"/>
                  <w:vAlign w:val="center"/>
                </w:tcPr>
                <w:p w14:paraId="58E0B802">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2400</w:t>
                  </w:r>
                </w:p>
              </w:tc>
              <w:tc>
                <w:tcPr>
                  <w:tcW w:w="1201" w:type="dxa"/>
                  <w:vAlign w:val="center"/>
                </w:tcPr>
                <w:p w14:paraId="521D70E0">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r>
            <w:tr w14:paraId="4005FC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6" w:hRule="atLeast"/>
                <w:jc w:val="center"/>
              </w:trPr>
              <w:tc>
                <w:tcPr>
                  <w:tcW w:w="1088" w:type="dxa"/>
                  <w:vAlign w:val="center"/>
                </w:tcPr>
                <w:p w14:paraId="16C7BD36">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危废暂存库</w:t>
                  </w:r>
                </w:p>
              </w:tc>
              <w:tc>
                <w:tcPr>
                  <w:tcW w:w="868" w:type="dxa"/>
                  <w:vAlign w:val="center"/>
                </w:tcPr>
                <w:p w14:paraId="7ECA545D">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878" w:type="dxa"/>
                  <w:vAlign w:val="center"/>
                </w:tcPr>
                <w:p w14:paraId="70B0075E">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885" w:type="dxa"/>
                  <w:vAlign w:val="center"/>
                </w:tcPr>
                <w:p w14:paraId="7A35531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943" w:type="dxa"/>
                  <w:vAlign w:val="center"/>
                </w:tcPr>
                <w:p w14:paraId="303197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000" w:type="dxa"/>
                  <w:vAlign w:val="center"/>
                </w:tcPr>
                <w:p w14:paraId="30AB80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091" w:type="dxa"/>
                  <w:vAlign w:val="center"/>
                </w:tcPr>
                <w:p w14:paraId="19B709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7200</w:t>
                  </w:r>
                </w:p>
              </w:tc>
              <w:tc>
                <w:tcPr>
                  <w:tcW w:w="1201" w:type="dxa"/>
                  <w:vAlign w:val="center"/>
                </w:tcPr>
                <w:p w14:paraId="6AC0F9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r>
          </w:tbl>
          <w:p w14:paraId="13002956">
            <w:pPr>
              <w:pStyle w:val="37"/>
              <w:bidi w:val="0"/>
              <w:rPr>
                <w:rFonts w:hint="default" w:ascii="Times New Roman" w:hAnsi="Times New Roman" w:cs="Times New Roman"/>
              </w:rPr>
            </w:pPr>
            <w:r>
              <w:rPr>
                <w:rFonts w:hint="default" w:ascii="Times New Roman" w:hAnsi="Times New Roman" w:cs="Times New Roman"/>
              </w:rPr>
              <w:t>表4.2  有组织废气产生及排放情况表</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705"/>
              <w:gridCol w:w="756"/>
              <w:gridCol w:w="734"/>
              <w:gridCol w:w="797"/>
              <w:gridCol w:w="774"/>
              <w:gridCol w:w="797"/>
              <w:gridCol w:w="592"/>
              <w:gridCol w:w="788"/>
              <w:gridCol w:w="687"/>
              <w:gridCol w:w="726"/>
              <w:gridCol w:w="757"/>
            </w:tblGrid>
            <w:tr w14:paraId="06487D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52" w:hRule="atLeast"/>
                <w:jc w:val="center"/>
              </w:trPr>
              <w:tc>
                <w:tcPr>
                  <w:tcW w:w="705" w:type="dxa"/>
                  <w:vMerge w:val="restart"/>
                  <w:vAlign w:val="center"/>
                </w:tcPr>
                <w:p w14:paraId="312CE1C6">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排气筒编号</w:t>
                  </w:r>
                </w:p>
              </w:tc>
              <w:tc>
                <w:tcPr>
                  <w:tcW w:w="756" w:type="dxa"/>
                  <w:vMerge w:val="restart"/>
                  <w:vAlign w:val="center"/>
                </w:tcPr>
                <w:p w14:paraId="4591FACA">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w:t>
                  </w:r>
                </w:p>
              </w:tc>
              <w:tc>
                <w:tcPr>
                  <w:tcW w:w="2305" w:type="dxa"/>
                  <w:gridSpan w:val="3"/>
                  <w:vAlign w:val="center"/>
                </w:tcPr>
                <w:p w14:paraId="264D2D27">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产生情况</w:t>
                  </w:r>
                </w:p>
              </w:tc>
              <w:tc>
                <w:tcPr>
                  <w:tcW w:w="797" w:type="dxa"/>
                  <w:vMerge w:val="restart"/>
                  <w:vAlign w:val="center"/>
                </w:tcPr>
                <w:p w14:paraId="6002D1A7">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风量（m</w:t>
                  </w:r>
                  <w:r>
                    <w:rPr>
                      <w:rFonts w:hint="default" w:ascii="Times New Roman" w:hAnsi="Times New Roman" w:cs="Times New Roman"/>
                      <w:b/>
                      <w:bCs/>
                      <w:color w:val="auto"/>
                      <w:highlight w:val="none"/>
                      <w:vertAlign w:val="superscript"/>
                    </w:rPr>
                    <w:t>3</w:t>
                  </w:r>
                  <w:r>
                    <w:rPr>
                      <w:rFonts w:hint="default" w:ascii="Times New Roman" w:hAnsi="Times New Roman" w:cs="Times New Roman"/>
                      <w:b/>
                      <w:bCs/>
                      <w:color w:val="auto"/>
                      <w:highlight w:val="none"/>
                    </w:rPr>
                    <w:t>/h）</w:t>
                  </w:r>
                </w:p>
              </w:tc>
              <w:tc>
                <w:tcPr>
                  <w:tcW w:w="592" w:type="dxa"/>
                  <w:vMerge w:val="restart"/>
                  <w:vAlign w:val="center"/>
                </w:tcPr>
                <w:p w14:paraId="00D90FAD">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治理措施</w:t>
                  </w:r>
                </w:p>
              </w:tc>
              <w:tc>
                <w:tcPr>
                  <w:tcW w:w="2201" w:type="dxa"/>
                  <w:gridSpan w:val="3"/>
                  <w:vAlign w:val="center"/>
                </w:tcPr>
                <w:p w14:paraId="391A74E9">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排放情况</w:t>
                  </w:r>
                </w:p>
              </w:tc>
              <w:tc>
                <w:tcPr>
                  <w:tcW w:w="757" w:type="dxa"/>
                  <w:vMerge w:val="restart"/>
                  <w:vAlign w:val="center"/>
                </w:tcPr>
                <w:p w14:paraId="0D207AC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运行时间h</w:t>
                  </w:r>
                </w:p>
              </w:tc>
            </w:tr>
            <w:tr w14:paraId="02E4B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771" w:hRule="atLeast"/>
                <w:jc w:val="center"/>
              </w:trPr>
              <w:tc>
                <w:tcPr>
                  <w:tcW w:w="705" w:type="dxa"/>
                  <w:vMerge w:val="continue"/>
                  <w:vAlign w:val="center"/>
                </w:tcPr>
                <w:p w14:paraId="00685DEA">
                  <w:pPr>
                    <w:adjustRightInd w:val="0"/>
                    <w:snapToGrid w:val="0"/>
                    <w:jc w:val="center"/>
                    <w:rPr>
                      <w:rFonts w:hint="default" w:ascii="Times New Roman" w:hAnsi="Times New Roman" w:cs="Times New Roman"/>
                      <w:b/>
                      <w:bCs/>
                      <w:color w:val="auto"/>
                      <w:highlight w:val="none"/>
                    </w:rPr>
                  </w:pPr>
                </w:p>
              </w:tc>
              <w:tc>
                <w:tcPr>
                  <w:tcW w:w="756" w:type="dxa"/>
                  <w:vMerge w:val="continue"/>
                  <w:vAlign w:val="center"/>
                </w:tcPr>
                <w:p w14:paraId="7EF34463">
                  <w:pPr>
                    <w:adjustRightInd w:val="0"/>
                    <w:snapToGrid w:val="0"/>
                    <w:jc w:val="center"/>
                    <w:rPr>
                      <w:rFonts w:hint="default" w:ascii="Times New Roman" w:hAnsi="Times New Roman" w:cs="Times New Roman"/>
                      <w:b/>
                      <w:bCs/>
                      <w:color w:val="auto"/>
                      <w:highlight w:val="none"/>
                    </w:rPr>
                  </w:pPr>
                </w:p>
              </w:tc>
              <w:tc>
                <w:tcPr>
                  <w:tcW w:w="734" w:type="dxa"/>
                  <w:vAlign w:val="center"/>
                </w:tcPr>
                <w:p w14:paraId="4FFEA903">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浓度mg/m</w:t>
                  </w:r>
                  <w:r>
                    <w:rPr>
                      <w:rFonts w:hint="default" w:ascii="Times New Roman" w:hAnsi="Times New Roman" w:cs="Times New Roman"/>
                      <w:b/>
                      <w:bCs/>
                      <w:color w:val="auto"/>
                      <w:highlight w:val="none"/>
                      <w:vertAlign w:val="superscript"/>
                    </w:rPr>
                    <w:t>3</w:t>
                  </w:r>
                </w:p>
              </w:tc>
              <w:tc>
                <w:tcPr>
                  <w:tcW w:w="797" w:type="dxa"/>
                  <w:vAlign w:val="center"/>
                </w:tcPr>
                <w:p w14:paraId="3BE76522">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速率kg/h</w:t>
                  </w:r>
                </w:p>
              </w:tc>
              <w:tc>
                <w:tcPr>
                  <w:tcW w:w="774" w:type="dxa"/>
                  <w:vAlign w:val="center"/>
                </w:tcPr>
                <w:p w14:paraId="1A4F27BC">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产生量kg/a</w:t>
                  </w:r>
                </w:p>
              </w:tc>
              <w:tc>
                <w:tcPr>
                  <w:tcW w:w="797" w:type="dxa"/>
                  <w:vMerge w:val="continue"/>
                  <w:vAlign w:val="center"/>
                </w:tcPr>
                <w:p w14:paraId="2F63E159">
                  <w:pPr>
                    <w:adjustRightInd w:val="0"/>
                    <w:snapToGrid w:val="0"/>
                    <w:jc w:val="center"/>
                    <w:rPr>
                      <w:rFonts w:hint="default" w:ascii="Times New Roman" w:hAnsi="Times New Roman" w:cs="Times New Roman"/>
                      <w:color w:val="auto"/>
                      <w:highlight w:val="none"/>
                    </w:rPr>
                  </w:pPr>
                </w:p>
              </w:tc>
              <w:tc>
                <w:tcPr>
                  <w:tcW w:w="592" w:type="dxa"/>
                  <w:vMerge w:val="continue"/>
                  <w:vAlign w:val="center"/>
                </w:tcPr>
                <w:p w14:paraId="20D1F1D6">
                  <w:pPr>
                    <w:adjustRightInd w:val="0"/>
                    <w:snapToGrid w:val="0"/>
                    <w:jc w:val="center"/>
                    <w:rPr>
                      <w:rFonts w:hint="default" w:ascii="Times New Roman" w:hAnsi="Times New Roman" w:cs="Times New Roman"/>
                      <w:color w:val="auto"/>
                      <w:highlight w:val="none"/>
                    </w:rPr>
                  </w:pPr>
                </w:p>
              </w:tc>
              <w:tc>
                <w:tcPr>
                  <w:tcW w:w="788" w:type="dxa"/>
                  <w:vAlign w:val="center"/>
                </w:tcPr>
                <w:p w14:paraId="580B1043">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浓度mg/m</w:t>
                  </w:r>
                  <w:r>
                    <w:rPr>
                      <w:rFonts w:hint="default" w:ascii="Times New Roman" w:hAnsi="Times New Roman" w:cs="Times New Roman"/>
                      <w:b/>
                      <w:bCs/>
                      <w:color w:val="auto"/>
                      <w:highlight w:val="none"/>
                      <w:vertAlign w:val="superscript"/>
                    </w:rPr>
                    <w:t>3</w:t>
                  </w:r>
                </w:p>
              </w:tc>
              <w:tc>
                <w:tcPr>
                  <w:tcW w:w="687" w:type="dxa"/>
                  <w:vAlign w:val="center"/>
                </w:tcPr>
                <w:p w14:paraId="0F21BEEF">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速率kg/h</w:t>
                  </w:r>
                </w:p>
              </w:tc>
              <w:tc>
                <w:tcPr>
                  <w:tcW w:w="726" w:type="dxa"/>
                  <w:vAlign w:val="center"/>
                </w:tcPr>
                <w:p w14:paraId="2346EB54">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排放量kg/a</w:t>
                  </w:r>
                </w:p>
              </w:tc>
              <w:tc>
                <w:tcPr>
                  <w:tcW w:w="757" w:type="dxa"/>
                  <w:vMerge w:val="continue"/>
                  <w:vAlign w:val="center"/>
                </w:tcPr>
                <w:p w14:paraId="5A07A9C8">
                  <w:pPr>
                    <w:adjustRightInd w:val="0"/>
                    <w:snapToGrid w:val="0"/>
                    <w:jc w:val="center"/>
                    <w:rPr>
                      <w:rFonts w:hint="default" w:ascii="Times New Roman" w:hAnsi="Times New Roman" w:cs="Times New Roman"/>
                      <w:color w:val="auto"/>
                      <w:highlight w:val="none"/>
                    </w:rPr>
                  </w:pPr>
                </w:p>
              </w:tc>
            </w:tr>
            <w:tr w14:paraId="34F711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477" w:hRule="atLeast"/>
                <w:jc w:val="center"/>
              </w:trPr>
              <w:tc>
                <w:tcPr>
                  <w:tcW w:w="705" w:type="dxa"/>
                  <w:vAlign w:val="center"/>
                </w:tcPr>
                <w:p w14:paraId="46E123F7">
                  <w:pPr>
                    <w:widowControl/>
                    <w:jc w:val="center"/>
                    <w:textAlignment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DA001</w:t>
                  </w:r>
                </w:p>
              </w:tc>
              <w:tc>
                <w:tcPr>
                  <w:tcW w:w="756" w:type="dxa"/>
                  <w:vMerge w:val="restart"/>
                  <w:vAlign w:val="center"/>
                </w:tcPr>
                <w:p w14:paraId="376C72A4">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NMHC</w:t>
                  </w:r>
                </w:p>
              </w:tc>
              <w:tc>
                <w:tcPr>
                  <w:tcW w:w="734" w:type="dxa"/>
                  <w:vAlign w:val="center"/>
                </w:tcPr>
                <w:p w14:paraId="127F4D25">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797" w:type="dxa"/>
                  <w:vAlign w:val="center"/>
                </w:tcPr>
                <w:p w14:paraId="5BAE0E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774" w:type="dxa"/>
                  <w:vAlign w:val="center"/>
                </w:tcPr>
                <w:p w14:paraId="78348F7A">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797" w:type="dxa"/>
                  <w:vAlign w:val="center"/>
                </w:tcPr>
                <w:p w14:paraId="54D9F48B">
                  <w:pPr>
                    <w:widowControl/>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592" w:type="dxa"/>
                  <w:vMerge w:val="restart"/>
                  <w:vAlign w:val="center"/>
                </w:tcPr>
                <w:p w14:paraId="1B4A3E84">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二级活性炭</w:t>
                  </w:r>
                </w:p>
              </w:tc>
              <w:tc>
                <w:tcPr>
                  <w:tcW w:w="788" w:type="dxa"/>
                  <w:vAlign w:val="center"/>
                </w:tcPr>
                <w:p w14:paraId="140D214D">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687" w:type="dxa"/>
                  <w:vAlign w:val="center"/>
                </w:tcPr>
                <w:p w14:paraId="43C78D2D">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726" w:type="dxa"/>
                  <w:vAlign w:val="center"/>
                </w:tcPr>
                <w:p w14:paraId="3CF98883">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757" w:type="dxa"/>
                  <w:vAlign w:val="center"/>
                </w:tcPr>
                <w:p w14:paraId="21610ED7">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r>
            <w:tr w14:paraId="3CC11C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477" w:hRule="atLeast"/>
                <w:jc w:val="center"/>
              </w:trPr>
              <w:tc>
                <w:tcPr>
                  <w:tcW w:w="705" w:type="dxa"/>
                  <w:vAlign w:val="center"/>
                </w:tcPr>
                <w:p w14:paraId="5671E6E1">
                  <w:pPr>
                    <w:widowControl/>
                    <w:jc w:val="center"/>
                    <w:textAlignment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DA002</w:t>
                  </w:r>
                </w:p>
              </w:tc>
              <w:tc>
                <w:tcPr>
                  <w:tcW w:w="756" w:type="dxa"/>
                  <w:vMerge w:val="continue"/>
                  <w:vAlign w:val="center"/>
                </w:tcPr>
                <w:p w14:paraId="6FADB7C4">
                  <w:pPr>
                    <w:widowControl/>
                    <w:jc w:val="center"/>
                    <w:textAlignment w:val="center"/>
                    <w:rPr>
                      <w:rFonts w:hint="default" w:ascii="Times New Roman" w:hAnsi="Times New Roman" w:cs="Times New Roman"/>
                      <w:color w:val="auto"/>
                      <w:highlight w:val="none"/>
                    </w:rPr>
                  </w:pPr>
                </w:p>
              </w:tc>
              <w:tc>
                <w:tcPr>
                  <w:tcW w:w="734" w:type="dxa"/>
                  <w:vAlign w:val="center"/>
                </w:tcPr>
                <w:p w14:paraId="57D6A6E7">
                  <w:pPr>
                    <w:keepNext w:val="0"/>
                    <w:keepLines w:val="0"/>
                    <w:widowControl/>
                    <w:suppressLineNumbers w:val="0"/>
                    <w:jc w:val="center"/>
                    <w:textAlignment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797" w:type="dxa"/>
                  <w:vAlign w:val="center"/>
                </w:tcPr>
                <w:p w14:paraId="7028C7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774" w:type="dxa"/>
                  <w:vAlign w:val="center"/>
                </w:tcPr>
                <w:p w14:paraId="30A202B6">
                  <w:pPr>
                    <w:keepNext w:val="0"/>
                    <w:keepLines w:val="0"/>
                    <w:widowControl/>
                    <w:suppressLineNumbers w:val="0"/>
                    <w:jc w:val="center"/>
                    <w:textAlignment w:val="center"/>
                    <w:rPr>
                      <w:rFonts w:hint="default" w:ascii="Times New Roman" w:hAnsi="Times New Roman" w:cs="Times New Roman"/>
                      <w:color w:val="auto"/>
                      <w:kern w:val="0"/>
                      <w:szCs w:val="21"/>
                      <w:highlight w:val="none"/>
                      <w:lang w:val="en-US" w:bidi="ar"/>
                    </w:rPr>
                  </w:pPr>
                  <w:r>
                    <w:rPr>
                      <w:rFonts w:hint="eastAsia" w:cs="Times New Roman"/>
                      <w:color w:val="auto"/>
                      <w:sz w:val="24"/>
                      <w:szCs w:val="24"/>
                      <w:highlight w:val="none"/>
                      <w:lang w:val="en-US" w:eastAsia="zh-CN"/>
                    </w:rPr>
                    <w:t>***</w:t>
                  </w:r>
                </w:p>
              </w:tc>
              <w:tc>
                <w:tcPr>
                  <w:tcW w:w="797" w:type="dxa"/>
                  <w:vAlign w:val="center"/>
                </w:tcPr>
                <w:p w14:paraId="10137AC0">
                  <w:pPr>
                    <w:widowControl/>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592" w:type="dxa"/>
                  <w:vMerge w:val="continue"/>
                  <w:vAlign w:val="center"/>
                </w:tcPr>
                <w:p w14:paraId="612793A1">
                  <w:pPr>
                    <w:widowControl/>
                    <w:jc w:val="center"/>
                    <w:textAlignment w:val="center"/>
                    <w:rPr>
                      <w:rFonts w:hint="default" w:ascii="Times New Roman" w:hAnsi="Times New Roman" w:cs="Times New Roman"/>
                      <w:color w:val="auto"/>
                      <w:highlight w:val="none"/>
                    </w:rPr>
                  </w:pPr>
                </w:p>
              </w:tc>
              <w:tc>
                <w:tcPr>
                  <w:tcW w:w="788" w:type="dxa"/>
                  <w:vAlign w:val="center"/>
                </w:tcPr>
                <w:p w14:paraId="1AEC6369">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687" w:type="dxa"/>
                  <w:vAlign w:val="center"/>
                </w:tcPr>
                <w:p w14:paraId="20075F0C">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726" w:type="dxa"/>
                  <w:vAlign w:val="center"/>
                </w:tcPr>
                <w:p w14:paraId="37C4C5F9">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757" w:type="dxa"/>
                  <w:vAlign w:val="center"/>
                </w:tcPr>
                <w:p w14:paraId="2B833152">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r>
            <w:tr w14:paraId="3D8699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477" w:hRule="atLeast"/>
                <w:jc w:val="center"/>
              </w:trPr>
              <w:tc>
                <w:tcPr>
                  <w:tcW w:w="705" w:type="dxa"/>
                  <w:vAlign w:val="center"/>
                </w:tcPr>
                <w:p w14:paraId="326023C4">
                  <w:pPr>
                    <w:widowControl/>
                    <w:jc w:val="center"/>
                    <w:textAlignment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DA00</w:t>
                  </w:r>
                  <w:r>
                    <w:rPr>
                      <w:rFonts w:hint="default" w:ascii="Times New Roman" w:hAnsi="Times New Roman" w:cs="Times New Roman"/>
                      <w:color w:val="auto"/>
                      <w:highlight w:val="none"/>
                      <w:lang w:val="en-US" w:eastAsia="zh-CN"/>
                    </w:rPr>
                    <w:t>3</w:t>
                  </w:r>
                </w:p>
              </w:tc>
              <w:tc>
                <w:tcPr>
                  <w:tcW w:w="756" w:type="dxa"/>
                  <w:vMerge w:val="continue"/>
                  <w:vAlign w:val="center"/>
                </w:tcPr>
                <w:p w14:paraId="028DA429">
                  <w:pPr>
                    <w:widowControl/>
                    <w:jc w:val="center"/>
                    <w:textAlignment w:val="center"/>
                    <w:rPr>
                      <w:rFonts w:hint="default" w:ascii="Times New Roman" w:hAnsi="Times New Roman" w:cs="Times New Roman"/>
                      <w:color w:val="auto"/>
                      <w:highlight w:val="none"/>
                    </w:rPr>
                  </w:pPr>
                </w:p>
              </w:tc>
              <w:tc>
                <w:tcPr>
                  <w:tcW w:w="734" w:type="dxa"/>
                  <w:vAlign w:val="center"/>
                </w:tcPr>
                <w:p w14:paraId="2C84F4B8">
                  <w:pPr>
                    <w:keepNext w:val="0"/>
                    <w:keepLines w:val="0"/>
                    <w:widowControl/>
                    <w:suppressLineNumbers w:val="0"/>
                    <w:jc w:val="center"/>
                    <w:textAlignment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797" w:type="dxa"/>
                  <w:vAlign w:val="center"/>
                </w:tcPr>
                <w:p w14:paraId="6FE156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774" w:type="dxa"/>
                  <w:vAlign w:val="center"/>
                </w:tcPr>
                <w:p w14:paraId="0AEB0BE4">
                  <w:pPr>
                    <w:keepNext w:val="0"/>
                    <w:keepLines w:val="0"/>
                    <w:widowControl/>
                    <w:suppressLineNumbers w:val="0"/>
                    <w:jc w:val="center"/>
                    <w:textAlignment w:val="center"/>
                    <w:rPr>
                      <w:rFonts w:hint="default" w:ascii="Times New Roman" w:hAnsi="Times New Roman" w:cs="Times New Roman"/>
                      <w:color w:val="auto"/>
                      <w:kern w:val="0"/>
                      <w:szCs w:val="21"/>
                      <w:highlight w:val="none"/>
                      <w:lang w:val="en-US" w:bidi="ar"/>
                    </w:rPr>
                  </w:pPr>
                  <w:r>
                    <w:rPr>
                      <w:rFonts w:hint="eastAsia" w:cs="Times New Roman"/>
                      <w:color w:val="auto"/>
                      <w:sz w:val="24"/>
                      <w:szCs w:val="24"/>
                      <w:highlight w:val="none"/>
                      <w:lang w:val="en-US" w:eastAsia="zh-CN"/>
                    </w:rPr>
                    <w:t>***</w:t>
                  </w:r>
                </w:p>
              </w:tc>
              <w:tc>
                <w:tcPr>
                  <w:tcW w:w="797" w:type="dxa"/>
                  <w:vAlign w:val="center"/>
                </w:tcPr>
                <w:p w14:paraId="786A93DE">
                  <w:pPr>
                    <w:widowControl/>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592" w:type="dxa"/>
                  <w:vMerge w:val="continue"/>
                  <w:vAlign w:val="center"/>
                </w:tcPr>
                <w:p w14:paraId="41C60A7C">
                  <w:pPr>
                    <w:widowControl/>
                    <w:jc w:val="center"/>
                    <w:textAlignment w:val="center"/>
                    <w:rPr>
                      <w:rFonts w:hint="default" w:ascii="Times New Roman" w:hAnsi="Times New Roman" w:cs="Times New Roman"/>
                      <w:color w:val="auto"/>
                      <w:highlight w:val="none"/>
                    </w:rPr>
                  </w:pPr>
                </w:p>
              </w:tc>
              <w:tc>
                <w:tcPr>
                  <w:tcW w:w="788" w:type="dxa"/>
                  <w:vAlign w:val="center"/>
                </w:tcPr>
                <w:p w14:paraId="5DF8DD08">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687" w:type="dxa"/>
                  <w:vAlign w:val="center"/>
                </w:tcPr>
                <w:p w14:paraId="2C2CAB10">
                  <w:pPr>
                    <w:keepNext w:val="0"/>
                    <w:keepLines w:val="0"/>
                    <w:widowControl/>
                    <w:suppressLineNumbers w:val="0"/>
                    <w:jc w:val="center"/>
                    <w:textAlignment w:val="center"/>
                    <w:rPr>
                      <w:rFonts w:hint="default" w:ascii="Times New Roman" w:hAnsi="Times New Roman" w:cs="Times New Roman"/>
                      <w:color w:val="auto"/>
                      <w:kern w:val="0"/>
                      <w:szCs w:val="21"/>
                      <w:highlight w:val="none"/>
                      <w:lang w:bidi="ar"/>
                    </w:rPr>
                  </w:pPr>
                  <w:r>
                    <w:rPr>
                      <w:rFonts w:hint="eastAsia" w:cs="Times New Roman"/>
                      <w:color w:val="auto"/>
                      <w:sz w:val="24"/>
                      <w:szCs w:val="24"/>
                      <w:highlight w:val="none"/>
                      <w:lang w:val="en-US" w:eastAsia="zh-CN"/>
                    </w:rPr>
                    <w:t>***</w:t>
                  </w:r>
                </w:p>
              </w:tc>
              <w:tc>
                <w:tcPr>
                  <w:tcW w:w="726" w:type="dxa"/>
                  <w:vAlign w:val="center"/>
                </w:tcPr>
                <w:p w14:paraId="189BD58F">
                  <w:pPr>
                    <w:keepNext w:val="0"/>
                    <w:keepLines w:val="0"/>
                    <w:widowControl/>
                    <w:suppressLineNumbers w:val="0"/>
                    <w:jc w:val="center"/>
                    <w:textAlignment w:val="center"/>
                    <w:rPr>
                      <w:rFonts w:hint="default" w:ascii="Times New Roman" w:hAnsi="Times New Roman" w:cs="Times New Roman"/>
                      <w:color w:val="auto"/>
                      <w:kern w:val="0"/>
                      <w:szCs w:val="21"/>
                      <w:highlight w:val="none"/>
                      <w:lang w:val="en-US" w:bidi="ar"/>
                    </w:rPr>
                  </w:pPr>
                  <w:r>
                    <w:rPr>
                      <w:rFonts w:hint="eastAsia" w:cs="Times New Roman"/>
                      <w:color w:val="auto"/>
                      <w:sz w:val="24"/>
                      <w:szCs w:val="24"/>
                      <w:highlight w:val="none"/>
                      <w:lang w:val="en-US" w:eastAsia="zh-CN"/>
                    </w:rPr>
                    <w:t>***</w:t>
                  </w:r>
                </w:p>
              </w:tc>
              <w:tc>
                <w:tcPr>
                  <w:tcW w:w="757" w:type="dxa"/>
                  <w:vAlign w:val="center"/>
                </w:tcPr>
                <w:p w14:paraId="476302C9">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r>
          </w:tbl>
          <w:p w14:paraId="0222D1A1">
            <w:pPr>
              <w:pStyle w:val="37"/>
              <w:bidi w:val="0"/>
              <w:rPr>
                <w:rFonts w:hint="default" w:ascii="Times New Roman" w:hAnsi="Times New Roman" w:cs="Times New Roman"/>
              </w:rPr>
            </w:pPr>
            <w:r>
              <w:rPr>
                <w:rFonts w:hint="default" w:ascii="Times New Roman" w:hAnsi="Times New Roman" w:cs="Times New Roman"/>
              </w:rPr>
              <w:t>表4.3 无组织废气产生及排放情况表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91"/>
              <w:gridCol w:w="793"/>
              <w:gridCol w:w="995"/>
              <w:gridCol w:w="813"/>
              <w:gridCol w:w="963"/>
              <w:gridCol w:w="1364"/>
              <w:gridCol w:w="801"/>
              <w:gridCol w:w="748"/>
            </w:tblGrid>
            <w:tr w14:paraId="53233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0" w:type="dxa"/>
                  <w:vMerge w:val="restart"/>
                  <w:vAlign w:val="center"/>
                </w:tcPr>
                <w:p w14:paraId="240BA383">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产污</w:t>
                  </w:r>
                </w:p>
                <w:p w14:paraId="1188CF6E">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环节</w:t>
                  </w:r>
                </w:p>
              </w:tc>
              <w:tc>
                <w:tcPr>
                  <w:tcW w:w="795" w:type="dxa"/>
                  <w:vMerge w:val="restart"/>
                  <w:vAlign w:val="center"/>
                </w:tcPr>
                <w:p w14:paraId="4B21D395">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污染物名称</w:t>
                  </w:r>
                </w:p>
              </w:tc>
              <w:tc>
                <w:tcPr>
                  <w:tcW w:w="1798" w:type="dxa"/>
                  <w:gridSpan w:val="2"/>
                  <w:vAlign w:val="center"/>
                </w:tcPr>
                <w:p w14:paraId="164B1678">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产生状况</w:t>
                  </w:r>
                </w:p>
              </w:tc>
              <w:tc>
                <w:tcPr>
                  <w:tcW w:w="1785" w:type="dxa"/>
                  <w:gridSpan w:val="2"/>
                  <w:vAlign w:val="center"/>
                </w:tcPr>
                <w:p w14:paraId="557AA350">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排放状况</w:t>
                  </w:r>
                </w:p>
              </w:tc>
              <w:tc>
                <w:tcPr>
                  <w:tcW w:w="2177" w:type="dxa"/>
                  <w:gridSpan w:val="2"/>
                  <w:vAlign w:val="center"/>
                </w:tcPr>
                <w:p w14:paraId="1BDEEBDC">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排放源参数</w:t>
                  </w:r>
                </w:p>
              </w:tc>
              <w:tc>
                <w:tcPr>
                  <w:tcW w:w="752" w:type="dxa"/>
                  <w:vMerge w:val="restart"/>
                  <w:vAlign w:val="center"/>
                </w:tcPr>
                <w:p w14:paraId="00397AD7">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w:t>
                  </w:r>
                </w:p>
                <w:p w14:paraId="22774EF0">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方式</w:t>
                  </w:r>
                </w:p>
              </w:tc>
            </w:tr>
            <w:tr w14:paraId="661E6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50" w:type="dxa"/>
                  <w:vMerge w:val="continue"/>
                  <w:vAlign w:val="center"/>
                </w:tcPr>
                <w:p w14:paraId="26369AA5">
                  <w:pPr>
                    <w:adjustRightInd w:val="0"/>
                    <w:snapToGrid w:val="0"/>
                    <w:jc w:val="center"/>
                    <w:rPr>
                      <w:rFonts w:hint="default" w:ascii="Times New Roman" w:hAnsi="Times New Roman" w:cs="Times New Roman"/>
                      <w:b/>
                      <w:bCs/>
                      <w:color w:val="auto"/>
                      <w:highlight w:val="none"/>
                    </w:rPr>
                  </w:pPr>
                </w:p>
              </w:tc>
              <w:tc>
                <w:tcPr>
                  <w:tcW w:w="795" w:type="dxa"/>
                  <w:vMerge w:val="continue"/>
                  <w:vAlign w:val="center"/>
                </w:tcPr>
                <w:p w14:paraId="2DC73BDC">
                  <w:pPr>
                    <w:adjustRightInd w:val="0"/>
                    <w:snapToGrid w:val="0"/>
                    <w:jc w:val="center"/>
                    <w:rPr>
                      <w:rFonts w:hint="default" w:ascii="Times New Roman" w:hAnsi="Times New Roman" w:cs="Times New Roman"/>
                      <w:b/>
                      <w:bCs/>
                      <w:color w:val="auto"/>
                      <w:highlight w:val="none"/>
                    </w:rPr>
                  </w:pPr>
                </w:p>
              </w:tc>
              <w:tc>
                <w:tcPr>
                  <w:tcW w:w="797" w:type="dxa"/>
                  <w:vAlign w:val="center"/>
                </w:tcPr>
                <w:p w14:paraId="20C94EC0">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速率(kg/h)</w:t>
                  </w:r>
                </w:p>
              </w:tc>
              <w:tc>
                <w:tcPr>
                  <w:tcW w:w="1001" w:type="dxa"/>
                  <w:vAlign w:val="center"/>
                </w:tcPr>
                <w:p w14:paraId="73497C57">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产生量(kg/a)</w:t>
                  </w:r>
                </w:p>
              </w:tc>
              <w:tc>
                <w:tcPr>
                  <w:tcW w:w="817" w:type="dxa"/>
                  <w:vAlign w:val="center"/>
                </w:tcPr>
                <w:p w14:paraId="0E8E60E5">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速率(kg/h)</w:t>
                  </w:r>
                </w:p>
              </w:tc>
              <w:tc>
                <w:tcPr>
                  <w:tcW w:w="968" w:type="dxa"/>
                  <w:vAlign w:val="center"/>
                </w:tcPr>
                <w:p w14:paraId="5681FE47">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排放量(kg/a)</w:t>
                  </w:r>
                </w:p>
              </w:tc>
              <w:tc>
                <w:tcPr>
                  <w:tcW w:w="1372" w:type="dxa"/>
                  <w:vAlign w:val="center"/>
                </w:tcPr>
                <w:p w14:paraId="0269E528">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面源面积(m</w:t>
                  </w:r>
                  <w:r>
                    <w:rPr>
                      <w:rFonts w:hint="default" w:ascii="Times New Roman" w:hAnsi="Times New Roman" w:cs="Times New Roman"/>
                      <w:b/>
                      <w:bCs/>
                      <w:color w:val="auto"/>
                      <w:highlight w:val="none"/>
                      <w:vertAlign w:val="superscript"/>
                    </w:rPr>
                    <w:t>2</w:t>
                  </w:r>
                  <w:r>
                    <w:rPr>
                      <w:rFonts w:hint="default" w:ascii="Times New Roman" w:hAnsi="Times New Roman" w:cs="Times New Roman"/>
                      <w:b/>
                      <w:bCs/>
                      <w:color w:val="auto"/>
                      <w:highlight w:val="none"/>
                    </w:rPr>
                    <w:t>)</w:t>
                  </w:r>
                </w:p>
              </w:tc>
              <w:tc>
                <w:tcPr>
                  <w:tcW w:w="805" w:type="dxa"/>
                  <w:vAlign w:val="center"/>
                </w:tcPr>
                <w:p w14:paraId="51E40AD0">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面源高度(m)</w:t>
                  </w:r>
                </w:p>
              </w:tc>
              <w:tc>
                <w:tcPr>
                  <w:tcW w:w="752" w:type="dxa"/>
                  <w:vMerge w:val="continue"/>
                  <w:vAlign w:val="center"/>
                </w:tcPr>
                <w:p w14:paraId="248C60CB">
                  <w:pPr>
                    <w:adjustRightInd w:val="0"/>
                    <w:snapToGrid w:val="0"/>
                    <w:jc w:val="center"/>
                    <w:rPr>
                      <w:rFonts w:hint="default" w:ascii="Times New Roman" w:hAnsi="Times New Roman" w:cs="Times New Roman"/>
                      <w:b/>
                      <w:bCs/>
                      <w:color w:val="auto"/>
                      <w:highlight w:val="none"/>
                    </w:rPr>
                  </w:pPr>
                </w:p>
              </w:tc>
            </w:tr>
            <w:tr w14:paraId="17DAC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50" w:type="dxa"/>
                  <w:vAlign w:val="center"/>
                </w:tcPr>
                <w:p w14:paraId="64A4D95A">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1#实验</w:t>
                  </w:r>
                  <w:r>
                    <w:rPr>
                      <w:rFonts w:hint="default" w:ascii="Times New Roman" w:hAnsi="Times New Roman" w:cs="Times New Roman"/>
                      <w:color w:val="auto"/>
                      <w:highlight w:val="none"/>
                      <w:lang w:val="en-US" w:eastAsia="zh-CN"/>
                    </w:rPr>
                    <w:t>区</w:t>
                  </w:r>
                </w:p>
              </w:tc>
              <w:tc>
                <w:tcPr>
                  <w:tcW w:w="795" w:type="dxa"/>
                  <w:vMerge w:val="restart"/>
                  <w:vAlign w:val="center"/>
                </w:tcPr>
                <w:p w14:paraId="495004C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非甲烷总烃</w:t>
                  </w:r>
                </w:p>
              </w:tc>
              <w:tc>
                <w:tcPr>
                  <w:tcW w:w="797" w:type="dxa"/>
                  <w:vAlign w:val="center"/>
                </w:tcPr>
                <w:p w14:paraId="4B889065">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01" w:type="dxa"/>
                  <w:vAlign w:val="center"/>
                </w:tcPr>
                <w:p w14:paraId="4EBAF50A">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817" w:type="dxa"/>
                  <w:vAlign w:val="center"/>
                </w:tcPr>
                <w:p w14:paraId="0913B8BF">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968" w:type="dxa"/>
                  <w:vAlign w:val="center"/>
                </w:tcPr>
                <w:p w14:paraId="76AFBD34">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372" w:type="dxa"/>
                  <w:vAlign w:val="center"/>
                </w:tcPr>
                <w:p w14:paraId="2F48A597">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805" w:type="dxa"/>
                  <w:vAlign w:val="center"/>
                </w:tcPr>
                <w:p w14:paraId="5A1CB334">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752" w:type="dxa"/>
                  <w:vMerge w:val="restart"/>
                  <w:vAlign w:val="center"/>
                </w:tcPr>
                <w:p w14:paraId="4C21BDB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无组织</w:t>
                  </w:r>
                </w:p>
              </w:tc>
            </w:tr>
            <w:tr w14:paraId="529D9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50" w:type="dxa"/>
                  <w:vAlign w:val="center"/>
                </w:tcPr>
                <w:p w14:paraId="7DAF9F0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#实验</w:t>
                  </w:r>
                  <w:r>
                    <w:rPr>
                      <w:rFonts w:hint="default" w:ascii="Times New Roman" w:hAnsi="Times New Roman" w:cs="Times New Roman"/>
                      <w:color w:val="auto"/>
                      <w:highlight w:val="none"/>
                      <w:lang w:val="en-US" w:eastAsia="zh-CN"/>
                    </w:rPr>
                    <w:t>区</w:t>
                  </w:r>
                </w:p>
              </w:tc>
              <w:tc>
                <w:tcPr>
                  <w:tcW w:w="795" w:type="dxa"/>
                  <w:vMerge w:val="continue"/>
                  <w:vAlign w:val="center"/>
                </w:tcPr>
                <w:p w14:paraId="4A0C466E">
                  <w:pPr>
                    <w:adjustRightInd w:val="0"/>
                    <w:snapToGrid w:val="0"/>
                    <w:jc w:val="center"/>
                    <w:rPr>
                      <w:rFonts w:hint="default" w:ascii="Times New Roman" w:hAnsi="Times New Roman" w:cs="Times New Roman"/>
                      <w:color w:val="auto"/>
                      <w:highlight w:val="none"/>
                    </w:rPr>
                  </w:pPr>
                </w:p>
              </w:tc>
              <w:tc>
                <w:tcPr>
                  <w:tcW w:w="797" w:type="dxa"/>
                  <w:vAlign w:val="center"/>
                </w:tcPr>
                <w:p w14:paraId="5DF24CF5">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01" w:type="dxa"/>
                  <w:vAlign w:val="center"/>
                </w:tcPr>
                <w:p w14:paraId="2ADC2351">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817" w:type="dxa"/>
                  <w:vAlign w:val="center"/>
                </w:tcPr>
                <w:p w14:paraId="417EB160">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968" w:type="dxa"/>
                  <w:vAlign w:val="center"/>
                </w:tcPr>
                <w:p w14:paraId="3E51327A">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372" w:type="dxa"/>
                  <w:vAlign w:val="center"/>
                </w:tcPr>
                <w:p w14:paraId="474DFB03">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805" w:type="dxa"/>
                  <w:vAlign w:val="center"/>
                </w:tcPr>
                <w:p w14:paraId="320E6511">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752" w:type="dxa"/>
                  <w:vMerge w:val="continue"/>
                  <w:vAlign w:val="center"/>
                </w:tcPr>
                <w:p w14:paraId="18D68A9D">
                  <w:pPr>
                    <w:adjustRightInd w:val="0"/>
                    <w:snapToGrid w:val="0"/>
                    <w:jc w:val="center"/>
                    <w:rPr>
                      <w:rFonts w:hint="default" w:ascii="Times New Roman" w:hAnsi="Times New Roman" w:cs="Times New Roman"/>
                      <w:color w:val="auto"/>
                      <w:highlight w:val="none"/>
                    </w:rPr>
                  </w:pPr>
                </w:p>
              </w:tc>
            </w:tr>
            <w:tr w14:paraId="2E4F2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50" w:type="dxa"/>
                  <w:vAlign w:val="center"/>
                </w:tcPr>
                <w:p w14:paraId="47320F34">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危废暂存库</w:t>
                  </w:r>
                </w:p>
              </w:tc>
              <w:tc>
                <w:tcPr>
                  <w:tcW w:w="795" w:type="dxa"/>
                  <w:vMerge w:val="continue"/>
                  <w:vAlign w:val="center"/>
                </w:tcPr>
                <w:p w14:paraId="7D915EC3">
                  <w:pPr>
                    <w:adjustRightInd w:val="0"/>
                    <w:snapToGrid w:val="0"/>
                    <w:jc w:val="center"/>
                    <w:rPr>
                      <w:rFonts w:hint="default" w:ascii="Times New Roman" w:hAnsi="Times New Roman" w:cs="Times New Roman"/>
                      <w:color w:val="auto"/>
                      <w:highlight w:val="none"/>
                    </w:rPr>
                  </w:pPr>
                </w:p>
              </w:tc>
              <w:tc>
                <w:tcPr>
                  <w:tcW w:w="797" w:type="dxa"/>
                  <w:vAlign w:val="center"/>
                </w:tcPr>
                <w:p w14:paraId="1F13BCF7">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01" w:type="dxa"/>
                  <w:vAlign w:val="center"/>
                </w:tcPr>
                <w:p w14:paraId="1F476AE8">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817" w:type="dxa"/>
                  <w:vAlign w:val="center"/>
                </w:tcPr>
                <w:p w14:paraId="6D4AF905">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968" w:type="dxa"/>
                  <w:vAlign w:val="center"/>
                </w:tcPr>
                <w:p w14:paraId="360C8D5B">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372" w:type="dxa"/>
                  <w:vAlign w:val="center"/>
                </w:tcPr>
                <w:p w14:paraId="6E3A743E">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805" w:type="dxa"/>
                  <w:vAlign w:val="center"/>
                </w:tcPr>
                <w:p w14:paraId="5A3A1512">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752" w:type="dxa"/>
                  <w:vMerge w:val="continue"/>
                  <w:vAlign w:val="center"/>
                </w:tcPr>
                <w:p w14:paraId="0176397D">
                  <w:pPr>
                    <w:adjustRightInd w:val="0"/>
                    <w:snapToGrid w:val="0"/>
                    <w:jc w:val="center"/>
                    <w:rPr>
                      <w:rFonts w:hint="default" w:ascii="Times New Roman" w:hAnsi="Times New Roman" w:cs="Times New Roman"/>
                      <w:color w:val="auto"/>
                      <w:highlight w:val="none"/>
                    </w:rPr>
                  </w:pPr>
                </w:p>
              </w:tc>
            </w:tr>
          </w:tbl>
          <w:p w14:paraId="7B74FB47">
            <w:pPr>
              <w:pStyle w:val="2"/>
              <w:spacing w:line="36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排放口基本情况：</w:t>
            </w:r>
          </w:p>
          <w:p w14:paraId="27CD0F63">
            <w:pPr>
              <w:pStyle w:val="37"/>
              <w:bidi w:val="0"/>
              <w:rPr>
                <w:rFonts w:hint="default" w:ascii="Times New Roman" w:hAnsi="Times New Roman" w:cs="Times New Roman"/>
              </w:rPr>
            </w:pPr>
            <w:r>
              <w:rPr>
                <w:rFonts w:hint="default" w:ascii="Times New Roman" w:hAnsi="Times New Roman" w:cs="Times New Roman"/>
              </w:rPr>
              <w:t>表4.4  有组织排放口基本情况表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875"/>
              <w:gridCol w:w="838"/>
              <w:gridCol w:w="637"/>
              <w:gridCol w:w="655"/>
              <w:gridCol w:w="694"/>
              <w:gridCol w:w="763"/>
              <w:gridCol w:w="1780"/>
              <w:gridCol w:w="1030"/>
              <w:gridCol w:w="841"/>
            </w:tblGrid>
            <w:tr w14:paraId="48C39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887" w:type="dxa"/>
                  <w:vAlign w:val="center"/>
                </w:tcPr>
                <w:p w14:paraId="5752518A">
                  <w:pPr>
                    <w:snapToGrid w:val="0"/>
                    <w:jc w:val="center"/>
                    <w:rPr>
                      <w:rFonts w:hint="default" w:ascii="Times New Roman" w:hAnsi="Times New Roman" w:cs="Times New Roman"/>
                      <w:b/>
                      <w:bCs/>
                      <w:color w:val="auto"/>
                      <w:highlight w:val="none"/>
                    </w:rPr>
                  </w:pPr>
                  <w:r>
                    <w:rPr>
                      <w:rFonts w:hint="eastAsia" w:cs="Times New Roman"/>
                      <w:b/>
                      <w:bCs/>
                      <w:color w:val="auto"/>
                      <w:highlight w:val="none"/>
                      <w:lang w:val="en-US" w:eastAsia="zh-CN"/>
                    </w:rPr>
                    <w:t>排气筒</w:t>
                  </w:r>
                  <w:r>
                    <w:rPr>
                      <w:rFonts w:hint="default" w:ascii="Times New Roman" w:hAnsi="Times New Roman" w:cs="Times New Roman"/>
                      <w:b/>
                      <w:bCs/>
                      <w:color w:val="auto"/>
                      <w:highlight w:val="none"/>
                    </w:rPr>
                    <w:t>编号</w:t>
                  </w:r>
                </w:p>
              </w:tc>
              <w:tc>
                <w:tcPr>
                  <w:tcW w:w="849" w:type="dxa"/>
                  <w:vAlign w:val="center"/>
                </w:tcPr>
                <w:p w14:paraId="4C85E830">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风量</w:t>
                  </w:r>
                </w:p>
                <w:p w14:paraId="01F1B18C">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m</w:t>
                  </w:r>
                  <w:r>
                    <w:rPr>
                      <w:rFonts w:hint="default" w:ascii="Times New Roman" w:hAnsi="Times New Roman" w:cs="Times New Roman"/>
                      <w:b/>
                      <w:bCs/>
                      <w:color w:val="auto"/>
                      <w:highlight w:val="none"/>
                      <w:vertAlign w:val="superscript"/>
                    </w:rPr>
                    <w:t>3</w:t>
                  </w:r>
                  <w:r>
                    <w:rPr>
                      <w:rFonts w:hint="default" w:ascii="Times New Roman" w:hAnsi="Times New Roman" w:cs="Times New Roman"/>
                      <w:b/>
                      <w:bCs/>
                      <w:color w:val="auto"/>
                      <w:highlight w:val="none"/>
                    </w:rPr>
                    <w:t>/h</w:t>
                  </w:r>
                </w:p>
              </w:tc>
              <w:tc>
                <w:tcPr>
                  <w:tcW w:w="644" w:type="dxa"/>
                  <w:vAlign w:val="center"/>
                </w:tcPr>
                <w:p w14:paraId="54BF8AA7">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Φ(m)</w:t>
                  </w:r>
                </w:p>
              </w:tc>
              <w:tc>
                <w:tcPr>
                  <w:tcW w:w="663" w:type="dxa"/>
                  <w:vAlign w:val="center"/>
                </w:tcPr>
                <w:p w14:paraId="36A57C54">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高度m</w:t>
                  </w:r>
                </w:p>
              </w:tc>
              <w:tc>
                <w:tcPr>
                  <w:tcW w:w="702" w:type="dxa"/>
                  <w:vAlign w:val="center"/>
                </w:tcPr>
                <w:p w14:paraId="4E5EA5F3">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温度℃</w:t>
                  </w:r>
                </w:p>
              </w:tc>
              <w:tc>
                <w:tcPr>
                  <w:tcW w:w="772" w:type="dxa"/>
                  <w:vAlign w:val="center"/>
                </w:tcPr>
                <w:p w14:paraId="6AD5C3C2">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工作时间h/a</w:t>
                  </w:r>
                </w:p>
              </w:tc>
              <w:tc>
                <w:tcPr>
                  <w:tcW w:w="1807" w:type="dxa"/>
                  <w:vAlign w:val="center"/>
                </w:tcPr>
                <w:p w14:paraId="2540FEEF">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地理坐标</w:t>
                  </w:r>
                </w:p>
              </w:tc>
              <w:tc>
                <w:tcPr>
                  <w:tcW w:w="1044" w:type="dxa"/>
                  <w:vAlign w:val="center"/>
                </w:tcPr>
                <w:p w14:paraId="23275A9B">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处理方式</w:t>
                  </w:r>
                </w:p>
              </w:tc>
              <w:tc>
                <w:tcPr>
                  <w:tcW w:w="852" w:type="dxa"/>
                  <w:vAlign w:val="center"/>
                </w:tcPr>
                <w:p w14:paraId="742601D9">
                  <w:pPr>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出口风速m/s</w:t>
                  </w:r>
                </w:p>
              </w:tc>
            </w:tr>
            <w:tr w14:paraId="11CBB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887" w:type="dxa"/>
                  <w:vAlign w:val="center"/>
                </w:tcPr>
                <w:p w14:paraId="18D7AA2E">
                  <w:pPr>
                    <w:widowControl/>
                    <w:jc w:val="center"/>
                    <w:textAlignment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DA001</w:t>
                  </w:r>
                </w:p>
              </w:tc>
              <w:tc>
                <w:tcPr>
                  <w:tcW w:w="849" w:type="dxa"/>
                  <w:vAlign w:val="center"/>
                </w:tcPr>
                <w:p w14:paraId="04414F4F">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644" w:type="dxa"/>
                  <w:vAlign w:val="center"/>
                </w:tcPr>
                <w:p w14:paraId="39700852">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663" w:type="dxa"/>
                  <w:vAlign w:val="center"/>
                </w:tcPr>
                <w:p w14:paraId="6C7F8595">
                  <w:pPr>
                    <w:keepNext w:val="0"/>
                    <w:keepLines w:val="0"/>
                    <w:widowControl/>
                    <w:suppressLineNumbers w:val="0"/>
                    <w:jc w:val="center"/>
                    <w:textAlignment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702" w:type="dxa"/>
                  <w:vAlign w:val="center"/>
                </w:tcPr>
                <w:p w14:paraId="53DF35F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常温</w:t>
                  </w:r>
                </w:p>
              </w:tc>
              <w:tc>
                <w:tcPr>
                  <w:tcW w:w="772" w:type="dxa"/>
                  <w:vAlign w:val="center"/>
                </w:tcPr>
                <w:p w14:paraId="52B0B9D7">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24</w:t>
                  </w:r>
                  <w:r>
                    <w:rPr>
                      <w:rFonts w:hint="default" w:ascii="Times New Roman" w:hAnsi="Times New Roman" w:cs="Times New Roman"/>
                      <w:color w:val="auto"/>
                      <w:highlight w:val="none"/>
                    </w:rPr>
                    <w:t>00</w:t>
                  </w:r>
                </w:p>
              </w:tc>
              <w:tc>
                <w:tcPr>
                  <w:tcW w:w="1807" w:type="dxa"/>
                  <w:vAlign w:val="center"/>
                </w:tcPr>
                <w:p w14:paraId="40A1B883">
                  <w:pPr>
                    <w:keepNext w:val="0"/>
                    <w:keepLines w:val="0"/>
                    <w:widowControl/>
                    <w:suppressLineNumbers w:val="0"/>
                    <w:jc w:val="center"/>
                    <w:textAlignment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44" w:type="dxa"/>
                  <w:vAlign w:val="center"/>
                </w:tcPr>
                <w:p w14:paraId="3B0FAD9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二级活性炭</w:t>
                  </w:r>
                </w:p>
              </w:tc>
              <w:tc>
                <w:tcPr>
                  <w:tcW w:w="852" w:type="dxa"/>
                  <w:vAlign w:val="center"/>
                </w:tcPr>
                <w:p w14:paraId="607094B1">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r>
            <w:tr w14:paraId="560CD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887" w:type="dxa"/>
                  <w:vAlign w:val="center"/>
                </w:tcPr>
                <w:p w14:paraId="076D8F39">
                  <w:pPr>
                    <w:widowControl/>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lang w:val="en-US" w:eastAsia="zh-CN"/>
                    </w:rPr>
                    <w:t>DA002</w:t>
                  </w:r>
                </w:p>
              </w:tc>
              <w:tc>
                <w:tcPr>
                  <w:tcW w:w="849" w:type="dxa"/>
                  <w:vAlign w:val="center"/>
                </w:tcPr>
                <w:p w14:paraId="6910ACBE">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44" w:type="dxa"/>
                  <w:vAlign w:val="center"/>
                </w:tcPr>
                <w:p w14:paraId="33DF2D84">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663" w:type="dxa"/>
                  <w:vAlign w:val="center"/>
                </w:tcPr>
                <w:p w14:paraId="66E9D7C5">
                  <w:pPr>
                    <w:keepNext w:val="0"/>
                    <w:keepLines w:val="0"/>
                    <w:widowControl/>
                    <w:suppressLineNumbers w:val="0"/>
                    <w:jc w:val="center"/>
                    <w:textAlignment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702" w:type="dxa"/>
                  <w:vAlign w:val="center"/>
                </w:tcPr>
                <w:p w14:paraId="5728D080">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rPr>
                    <w:t>常温</w:t>
                  </w:r>
                </w:p>
              </w:tc>
              <w:tc>
                <w:tcPr>
                  <w:tcW w:w="772" w:type="dxa"/>
                  <w:vAlign w:val="center"/>
                </w:tcPr>
                <w:p w14:paraId="0E5DEB0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lang w:val="en-US" w:eastAsia="zh-CN"/>
                    </w:rPr>
                    <w:t>24</w:t>
                  </w:r>
                  <w:r>
                    <w:rPr>
                      <w:rFonts w:hint="default" w:ascii="Times New Roman" w:hAnsi="Times New Roman" w:cs="Times New Roman"/>
                    </w:rPr>
                    <w:t>00</w:t>
                  </w:r>
                </w:p>
              </w:tc>
              <w:tc>
                <w:tcPr>
                  <w:tcW w:w="1807" w:type="dxa"/>
                  <w:vAlign w:val="center"/>
                </w:tcPr>
                <w:p w14:paraId="69012658">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044" w:type="dxa"/>
                  <w:vAlign w:val="center"/>
                </w:tcPr>
                <w:p w14:paraId="41D8735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rPr>
                    <w:t>二级活性炭</w:t>
                  </w:r>
                </w:p>
              </w:tc>
              <w:tc>
                <w:tcPr>
                  <w:tcW w:w="852" w:type="dxa"/>
                  <w:vAlign w:val="center"/>
                </w:tcPr>
                <w:p w14:paraId="7CDA845A">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r>
            <w:tr w14:paraId="2AE55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887" w:type="dxa"/>
                  <w:vAlign w:val="center"/>
                </w:tcPr>
                <w:p w14:paraId="4CC2BFAE">
                  <w:pPr>
                    <w:widowControl/>
                    <w:jc w:val="center"/>
                    <w:textAlignment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DA003</w:t>
                  </w:r>
                </w:p>
              </w:tc>
              <w:tc>
                <w:tcPr>
                  <w:tcW w:w="849" w:type="dxa"/>
                  <w:vAlign w:val="center"/>
                </w:tcPr>
                <w:p w14:paraId="3096A3AD">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44" w:type="dxa"/>
                  <w:vAlign w:val="center"/>
                </w:tcPr>
                <w:p w14:paraId="32D25AA6">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63" w:type="dxa"/>
                  <w:vAlign w:val="center"/>
                </w:tcPr>
                <w:p w14:paraId="06534F17">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702" w:type="dxa"/>
                  <w:vAlign w:val="center"/>
                </w:tcPr>
                <w:p w14:paraId="1361FD0A">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常温</w:t>
                  </w:r>
                </w:p>
              </w:tc>
              <w:tc>
                <w:tcPr>
                  <w:tcW w:w="772" w:type="dxa"/>
                  <w:vAlign w:val="center"/>
                </w:tcPr>
                <w:p w14:paraId="6C50909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7200</w:t>
                  </w:r>
                </w:p>
              </w:tc>
              <w:tc>
                <w:tcPr>
                  <w:tcW w:w="1807" w:type="dxa"/>
                  <w:vAlign w:val="center"/>
                </w:tcPr>
                <w:p w14:paraId="648E3A9D">
                  <w:pPr>
                    <w:keepNext w:val="0"/>
                    <w:keepLines w:val="0"/>
                    <w:widowControl/>
                    <w:suppressLineNumbers w:val="0"/>
                    <w:jc w:val="center"/>
                    <w:textAlignment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44" w:type="dxa"/>
                  <w:vAlign w:val="center"/>
                </w:tcPr>
                <w:p w14:paraId="2663A2F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二级活性炭</w:t>
                  </w:r>
                </w:p>
              </w:tc>
              <w:tc>
                <w:tcPr>
                  <w:tcW w:w="852" w:type="dxa"/>
                  <w:vAlign w:val="center"/>
                </w:tcPr>
                <w:p w14:paraId="48F7895E">
                  <w:pPr>
                    <w:keepNext w:val="0"/>
                    <w:keepLines w:val="0"/>
                    <w:widowControl/>
                    <w:suppressLineNumbers w:val="0"/>
                    <w:jc w:val="center"/>
                    <w:textAlignment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r>
          </w:tbl>
          <w:p w14:paraId="0F96E0D2">
            <w:pPr>
              <w:pStyle w:val="37"/>
              <w:bidi w:val="0"/>
              <w:rPr>
                <w:rFonts w:hint="default" w:ascii="Times New Roman" w:hAnsi="Times New Roman" w:cs="Times New Roman"/>
              </w:rPr>
            </w:pPr>
            <w:r>
              <w:rPr>
                <w:rFonts w:hint="default" w:ascii="Times New Roman" w:hAnsi="Times New Roman" w:cs="Times New Roman"/>
              </w:rPr>
              <w:t>表4.5  有组织排放核算表</w:t>
            </w:r>
          </w:p>
          <w:tbl>
            <w:tblPr>
              <w:tblStyle w:val="13"/>
              <w:tblW w:w="9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2"/>
              <w:gridCol w:w="1386"/>
              <w:gridCol w:w="1333"/>
              <w:gridCol w:w="1841"/>
              <w:gridCol w:w="1306"/>
              <w:gridCol w:w="1285"/>
              <w:gridCol w:w="774"/>
              <w:gridCol w:w="774"/>
            </w:tblGrid>
            <w:tr w14:paraId="4DB031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2"/>
                <w:wAfter w:w="1548" w:type="dxa"/>
                <w:trHeight w:val="630" w:hRule="atLeast"/>
                <w:jc w:val="center"/>
              </w:trPr>
              <w:tc>
                <w:tcPr>
                  <w:tcW w:w="962" w:type="dxa"/>
                  <w:tcBorders>
                    <w:tl2br w:val="nil"/>
                    <w:tr2bl w:val="nil"/>
                  </w:tcBorders>
                  <w:shd w:val="clear" w:color="auto" w:fill="auto"/>
                  <w:vAlign w:val="center"/>
                </w:tcPr>
                <w:p w14:paraId="05F4886A">
                  <w:pPr>
                    <w:widowControl/>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序号</w:t>
                  </w:r>
                </w:p>
              </w:tc>
              <w:tc>
                <w:tcPr>
                  <w:tcW w:w="1386" w:type="dxa"/>
                  <w:tcBorders>
                    <w:tl2br w:val="nil"/>
                    <w:tr2bl w:val="nil"/>
                  </w:tcBorders>
                  <w:shd w:val="clear" w:color="auto" w:fill="auto"/>
                  <w:vAlign w:val="center"/>
                </w:tcPr>
                <w:p w14:paraId="480BA04A">
                  <w:pPr>
                    <w:widowControl/>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排放口编号</w:t>
                  </w:r>
                </w:p>
              </w:tc>
              <w:tc>
                <w:tcPr>
                  <w:tcW w:w="1333" w:type="dxa"/>
                  <w:tcBorders>
                    <w:tl2br w:val="nil"/>
                    <w:tr2bl w:val="nil"/>
                  </w:tcBorders>
                  <w:shd w:val="clear" w:color="auto" w:fill="auto"/>
                  <w:vAlign w:val="center"/>
                </w:tcPr>
                <w:p w14:paraId="2B33A39F">
                  <w:pPr>
                    <w:widowControl/>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污染物</w:t>
                  </w:r>
                </w:p>
              </w:tc>
              <w:tc>
                <w:tcPr>
                  <w:tcW w:w="1841" w:type="dxa"/>
                  <w:tcBorders>
                    <w:tl2br w:val="nil"/>
                    <w:tr2bl w:val="nil"/>
                  </w:tcBorders>
                  <w:shd w:val="clear" w:color="auto" w:fill="auto"/>
                  <w:vAlign w:val="center"/>
                </w:tcPr>
                <w:p w14:paraId="67B5243F">
                  <w:pPr>
                    <w:widowControl/>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核算排放浓度/（mg/m</w:t>
                  </w:r>
                  <w:r>
                    <w:rPr>
                      <w:rFonts w:hint="default" w:ascii="Times New Roman" w:hAnsi="Times New Roman" w:cs="Times New Roman"/>
                      <w:b/>
                      <w:bCs/>
                      <w:color w:val="auto"/>
                      <w:kern w:val="0"/>
                      <w:szCs w:val="21"/>
                      <w:highlight w:val="none"/>
                      <w:vertAlign w:val="superscript"/>
                      <w:lang w:bidi="ar"/>
                    </w:rPr>
                    <w:t>3</w:t>
                  </w:r>
                  <w:r>
                    <w:rPr>
                      <w:rFonts w:hint="default" w:ascii="Times New Roman" w:hAnsi="Times New Roman" w:cs="Times New Roman"/>
                      <w:b/>
                      <w:bCs/>
                      <w:color w:val="auto"/>
                      <w:kern w:val="0"/>
                      <w:szCs w:val="21"/>
                      <w:highlight w:val="none"/>
                      <w:lang w:bidi="ar"/>
                    </w:rPr>
                    <w:t>）</w:t>
                  </w:r>
                </w:p>
              </w:tc>
              <w:tc>
                <w:tcPr>
                  <w:tcW w:w="1306" w:type="dxa"/>
                  <w:tcBorders>
                    <w:tl2br w:val="nil"/>
                    <w:tr2bl w:val="nil"/>
                  </w:tcBorders>
                  <w:shd w:val="clear" w:color="auto" w:fill="auto"/>
                  <w:vAlign w:val="center"/>
                </w:tcPr>
                <w:p w14:paraId="5D1179AE">
                  <w:pPr>
                    <w:widowControl/>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核算排放速率/（kg/h）</w:t>
                  </w:r>
                </w:p>
              </w:tc>
              <w:tc>
                <w:tcPr>
                  <w:tcW w:w="1285" w:type="dxa"/>
                  <w:tcBorders>
                    <w:tl2br w:val="nil"/>
                    <w:tr2bl w:val="nil"/>
                  </w:tcBorders>
                  <w:shd w:val="clear" w:color="auto" w:fill="auto"/>
                  <w:vAlign w:val="center"/>
                </w:tcPr>
                <w:p w14:paraId="19095FC9">
                  <w:pPr>
                    <w:widowControl/>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核算年排放量/（kg/a）</w:t>
                  </w:r>
                </w:p>
              </w:tc>
            </w:tr>
            <w:tr w14:paraId="71EB7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2"/>
                <w:wAfter w:w="1548" w:type="dxa"/>
                <w:trHeight w:val="300" w:hRule="atLeast"/>
                <w:jc w:val="center"/>
              </w:trPr>
              <w:tc>
                <w:tcPr>
                  <w:tcW w:w="8113" w:type="dxa"/>
                  <w:gridSpan w:val="6"/>
                  <w:tcBorders>
                    <w:tl2br w:val="nil"/>
                    <w:tr2bl w:val="nil"/>
                  </w:tcBorders>
                  <w:shd w:val="clear" w:color="auto" w:fill="auto"/>
                  <w:vAlign w:val="center"/>
                </w:tcPr>
                <w:p w14:paraId="3C267DE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一般排放口</w:t>
                  </w:r>
                </w:p>
              </w:tc>
            </w:tr>
            <w:tr w14:paraId="6F024E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2"/>
                <w:wAfter w:w="1548" w:type="dxa"/>
                <w:trHeight w:val="90" w:hRule="atLeast"/>
                <w:jc w:val="center"/>
              </w:trPr>
              <w:tc>
                <w:tcPr>
                  <w:tcW w:w="962" w:type="dxa"/>
                  <w:tcBorders>
                    <w:tl2br w:val="nil"/>
                    <w:tr2bl w:val="nil"/>
                  </w:tcBorders>
                  <w:shd w:val="clear" w:color="auto" w:fill="auto"/>
                  <w:vAlign w:val="center"/>
                </w:tcPr>
                <w:p w14:paraId="579D147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w:t>
                  </w:r>
                </w:p>
              </w:tc>
              <w:tc>
                <w:tcPr>
                  <w:tcW w:w="1386" w:type="dxa"/>
                  <w:tcBorders>
                    <w:tl2br w:val="nil"/>
                    <w:tr2bl w:val="nil"/>
                  </w:tcBorders>
                  <w:shd w:val="clear" w:color="auto" w:fill="auto"/>
                  <w:vAlign w:val="center"/>
                </w:tcPr>
                <w:p w14:paraId="3E38473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DA001</w:t>
                  </w:r>
                </w:p>
              </w:tc>
              <w:tc>
                <w:tcPr>
                  <w:tcW w:w="1333" w:type="dxa"/>
                  <w:tcBorders>
                    <w:tl2br w:val="nil"/>
                    <w:tr2bl w:val="nil"/>
                  </w:tcBorders>
                  <w:shd w:val="clear" w:color="auto" w:fill="auto"/>
                  <w:vAlign w:val="center"/>
                </w:tcPr>
                <w:p w14:paraId="775CCE1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非甲烷总烃</w:t>
                  </w:r>
                </w:p>
              </w:tc>
              <w:tc>
                <w:tcPr>
                  <w:tcW w:w="1841" w:type="dxa"/>
                  <w:tcBorders>
                    <w:tl2br w:val="nil"/>
                    <w:tr2bl w:val="nil"/>
                  </w:tcBorders>
                  <w:shd w:val="clear" w:color="auto" w:fill="auto"/>
                  <w:vAlign w:val="center"/>
                </w:tcPr>
                <w:p w14:paraId="7114159A">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c>
                <w:tcPr>
                  <w:tcW w:w="1306" w:type="dxa"/>
                  <w:tcBorders>
                    <w:tl2br w:val="nil"/>
                    <w:tr2bl w:val="nil"/>
                  </w:tcBorders>
                  <w:shd w:val="clear" w:color="auto" w:fill="auto"/>
                  <w:vAlign w:val="center"/>
                </w:tcPr>
                <w:p w14:paraId="5116ECDA">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c>
                <w:tcPr>
                  <w:tcW w:w="1285" w:type="dxa"/>
                  <w:tcBorders>
                    <w:tl2br w:val="nil"/>
                    <w:tr2bl w:val="nil"/>
                  </w:tcBorders>
                  <w:shd w:val="clear" w:color="auto" w:fill="auto"/>
                  <w:vAlign w:val="center"/>
                </w:tcPr>
                <w:p w14:paraId="1B86DA84">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74CA9E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2"/>
                <w:wAfter w:w="1548" w:type="dxa"/>
                <w:trHeight w:val="315" w:hRule="atLeast"/>
                <w:jc w:val="center"/>
              </w:trPr>
              <w:tc>
                <w:tcPr>
                  <w:tcW w:w="962" w:type="dxa"/>
                  <w:tcBorders>
                    <w:tl2br w:val="nil"/>
                    <w:tr2bl w:val="nil"/>
                  </w:tcBorders>
                  <w:shd w:val="clear" w:color="auto" w:fill="auto"/>
                  <w:vAlign w:val="center"/>
                </w:tcPr>
                <w:p w14:paraId="27F81054">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cs="Times New Roman"/>
                      <w:color w:val="auto"/>
                      <w:kern w:val="0"/>
                      <w:szCs w:val="21"/>
                      <w:highlight w:val="none"/>
                      <w:lang w:val="en-US" w:eastAsia="zh-CN" w:bidi="ar"/>
                    </w:rPr>
                    <w:t>2</w:t>
                  </w:r>
                </w:p>
              </w:tc>
              <w:tc>
                <w:tcPr>
                  <w:tcW w:w="1386" w:type="dxa"/>
                  <w:tcBorders>
                    <w:tl2br w:val="nil"/>
                    <w:tr2bl w:val="nil"/>
                  </w:tcBorders>
                  <w:shd w:val="clear" w:color="auto" w:fill="auto"/>
                  <w:vAlign w:val="center"/>
                </w:tcPr>
                <w:p w14:paraId="5896EF58">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Cs w:val="21"/>
                      <w:highlight w:val="none"/>
                      <w:lang w:bidi="ar"/>
                    </w:rPr>
                    <w:t>DA00</w:t>
                  </w:r>
                  <w:r>
                    <w:rPr>
                      <w:rFonts w:hint="default" w:ascii="Times New Roman" w:hAnsi="Times New Roman" w:cs="Times New Roman"/>
                      <w:color w:val="auto"/>
                      <w:kern w:val="0"/>
                      <w:szCs w:val="21"/>
                      <w:highlight w:val="none"/>
                      <w:lang w:val="en-US" w:eastAsia="zh-CN" w:bidi="ar"/>
                    </w:rPr>
                    <w:t>2</w:t>
                  </w:r>
                </w:p>
              </w:tc>
              <w:tc>
                <w:tcPr>
                  <w:tcW w:w="1333" w:type="dxa"/>
                  <w:tcBorders>
                    <w:tl2br w:val="nil"/>
                    <w:tr2bl w:val="nil"/>
                  </w:tcBorders>
                  <w:shd w:val="clear" w:color="auto" w:fill="auto"/>
                  <w:vAlign w:val="center"/>
                </w:tcPr>
                <w:p w14:paraId="023A0708">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非甲烷总烃</w:t>
                  </w:r>
                </w:p>
              </w:tc>
              <w:tc>
                <w:tcPr>
                  <w:tcW w:w="1841" w:type="dxa"/>
                  <w:tcBorders>
                    <w:tl2br w:val="nil"/>
                    <w:tr2bl w:val="nil"/>
                  </w:tcBorders>
                  <w:shd w:val="clear" w:color="auto" w:fill="auto"/>
                  <w:vAlign w:val="center"/>
                </w:tcPr>
                <w:p w14:paraId="1132EB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306" w:type="dxa"/>
                  <w:tcBorders>
                    <w:tl2br w:val="nil"/>
                    <w:tr2bl w:val="nil"/>
                  </w:tcBorders>
                  <w:shd w:val="clear" w:color="auto" w:fill="auto"/>
                  <w:vAlign w:val="center"/>
                </w:tcPr>
                <w:p w14:paraId="062D45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285" w:type="dxa"/>
                  <w:tcBorders>
                    <w:tl2br w:val="nil"/>
                    <w:tr2bl w:val="nil"/>
                  </w:tcBorders>
                  <w:shd w:val="clear" w:color="auto" w:fill="auto"/>
                  <w:vAlign w:val="center"/>
                </w:tcPr>
                <w:p w14:paraId="4384C8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color w:val="auto"/>
                      <w:sz w:val="24"/>
                      <w:szCs w:val="24"/>
                      <w:highlight w:val="none"/>
                      <w:lang w:val="en-US" w:eastAsia="zh-CN"/>
                    </w:rPr>
                    <w:t>***</w:t>
                  </w:r>
                </w:p>
              </w:tc>
            </w:tr>
            <w:tr w14:paraId="505039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2"/>
                <w:wAfter w:w="1548" w:type="dxa"/>
                <w:trHeight w:val="315" w:hRule="atLeast"/>
                <w:jc w:val="center"/>
              </w:trPr>
              <w:tc>
                <w:tcPr>
                  <w:tcW w:w="962" w:type="dxa"/>
                  <w:tcBorders>
                    <w:tl2br w:val="nil"/>
                    <w:tr2bl w:val="nil"/>
                  </w:tcBorders>
                  <w:shd w:val="clear" w:color="auto" w:fill="auto"/>
                  <w:vAlign w:val="center"/>
                </w:tcPr>
                <w:p w14:paraId="0677B8FA">
                  <w:pPr>
                    <w:widowControl/>
                    <w:jc w:val="center"/>
                    <w:textAlignment w:val="center"/>
                    <w:rPr>
                      <w:rFonts w:hint="default" w:ascii="Times New Roman" w:hAnsi="Times New Roman" w:cs="Times New Roman"/>
                      <w:color w:val="auto"/>
                      <w:kern w:val="0"/>
                      <w:szCs w:val="21"/>
                      <w:highlight w:val="none"/>
                      <w:lang w:val="en-US" w:eastAsia="zh-CN" w:bidi="ar"/>
                    </w:rPr>
                  </w:pPr>
                  <w:r>
                    <w:rPr>
                      <w:rFonts w:hint="default" w:ascii="Times New Roman" w:hAnsi="Times New Roman" w:cs="Times New Roman"/>
                      <w:color w:val="auto"/>
                      <w:kern w:val="0"/>
                      <w:szCs w:val="21"/>
                      <w:highlight w:val="none"/>
                      <w:lang w:val="en-US" w:eastAsia="zh-CN" w:bidi="ar"/>
                    </w:rPr>
                    <w:t>3</w:t>
                  </w:r>
                </w:p>
              </w:tc>
              <w:tc>
                <w:tcPr>
                  <w:tcW w:w="1386" w:type="dxa"/>
                  <w:tcBorders>
                    <w:tl2br w:val="nil"/>
                    <w:tr2bl w:val="nil"/>
                  </w:tcBorders>
                  <w:shd w:val="clear" w:color="auto" w:fill="auto"/>
                  <w:vAlign w:val="center"/>
                </w:tcPr>
                <w:p w14:paraId="5E376764">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Cs w:val="21"/>
                      <w:highlight w:val="none"/>
                      <w:lang w:bidi="ar"/>
                    </w:rPr>
                    <w:t>DA00</w:t>
                  </w:r>
                  <w:r>
                    <w:rPr>
                      <w:rFonts w:hint="default" w:ascii="Times New Roman" w:hAnsi="Times New Roman" w:cs="Times New Roman"/>
                      <w:color w:val="auto"/>
                      <w:kern w:val="0"/>
                      <w:szCs w:val="21"/>
                      <w:highlight w:val="none"/>
                      <w:lang w:val="en-US" w:eastAsia="zh-CN" w:bidi="ar"/>
                    </w:rPr>
                    <w:t>3</w:t>
                  </w:r>
                </w:p>
              </w:tc>
              <w:tc>
                <w:tcPr>
                  <w:tcW w:w="1333" w:type="dxa"/>
                  <w:tcBorders>
                    <w:tl2br w:val="nil"/>
                    <w:tr2bl w:val="nil"/>
                  </w:tcBorders>
                  <w:shd w:val="clear" w:color="auto" w:fill="auto"/>
                  <w:vAlign w:val="center"/>
                </w:tcPr>
                <w:p w14:paraId="31E604EE">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非甲烷总烃</w:t>
                  </w:r>
                </w:p>
              </w:tc>
              <w:tc>
                <w:tcPr>
                  <w:tcW w:w="1841" w:type="dxa"/>
                  <w:tcBorders>
                    <w:tl2br w:val="nil"/>
                    <w:tr2bl w:val="nil"/>
                  </w:tcBorders>
                  <w:shd w:val="clear" w:color="auto" w:fill="auto"/>
                  <w:vAlign w:val="center"/>
                </w:tcPr>
                <w:p w14:paraId="4A3734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306" w:type="dxa"/>
                  <w:tcBorders>
                    <w:tl2br w:val="nil"/>
                    <w:tr2bl w:val="nil"/>
                  </w:tcBorders>
                  <w:shd w:val="clear" w:color="auto" w:fill="auto"/>
                  <w:vAlign w:val="center"/>
                </w:tcPr>
                <w:p w14:paraId="59BA8B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1285" w:type="dxa"/>
                  <w:tcBorders>
                    <w:tl2br w:val="nil"/>
                    <w:tr2bl w:val="nil"/>
                  </w:tcBorders>
                  <w:shd w:val="clear" w:color="auto" w:fill="auto"/>
                  <w:vAlign w:val="center"/>
                </w:tcPr>
                <w:p w14:paraId="5E040D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color w:val="auto"/>
                      <w:sz w:val="24"/>
                      <w:szCs w:val="24"/>
                      <w:highlight w:val="none"/>
                      <w:lang w:val="en-US" w:eastAsia="zh-CN"/>
                    </w:rPr>
                    <w:t>***</w:t>
                  </w:r>
                </w:p>
              </w:tc>
            </w:tr>
            <w:tr w14:paraId="59BB4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2"/>
                <w:wAfter w:w="1548" w:type="dxa"/>
                <w:trHeight w:val="300" w:hRule="atLeast"/>
                <w:jc w:val="center"/>
              </w:trPr>
              <w:tc>
                <w:tcPr>
                  <w:tcW w:w="8113" w:type="dxa"/>
                  <w:gridSpan w:val="6"/>
                  <w:tcBorders>
                    <w:tl2br w:val="nil"/>
                    <w:tr2bl w:val="nil"/>
                  </w:tcBorders>
                  <w:shd w:val="clear" w:color="auto" w:fill="auto"/>
                  <w:vAlign w:val="center"/>
                </w:tcPr>
                <w:p w14:paraId="282BAD7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有组织排放总计</w:t>
                  </w:r>
                </w:p>
              </w:tc>
            </w:tr>
            <w:tr w14:paraId="5EACC7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348" w:type="dxa"/>
                  <w:gridSpan w:val="2"/>
                  <w:tcBorders>
                    <w:tl2br w:val="nil"/>
                    <w:tr2bl w:val="nil"/>
                  </w:tcBorders>
                  <w:shd w:val="clear" w:color="auto" w:fill="auto"/>
                  <w:vAlign w:val="center"/>
                </w:tcPr>
                <w:p w14:paraId="43B9A64D">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lang w:bidi="ar"/>
                    </w:rPr>
                    <w:t>有组织排放总计</w:t>
                  </w:r>
                </w:p>
              </w:tc>
              <w:tc>
                <w:tcPr>
                  <w:tcW w:w="4480" w:type="dxa"/>
                  <w:gridSpan w:val="3"/>
                  <w:tcBorders>
                    <w:tl2br w:val="nil"/>
                    <w:tr2bl w:val="nil"/>
                  </w:tcBorders>
                  <w:shd w:val="clear" w:color="auto" w:fill="auto"/>
                  <w:vAlign w:val="center"/>
                </w:tcPr>
                <w:p w14:paraId="3889EE2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非甲烷总烃</w:t>
                  </w:r>
                </w:p>
              </w:tc>
              <w:tc>
                <w:tcPr>
                  <w:tcW w:w="1285" w:type="dxa"/>
                  <w:tcBorders>
                    <w:tl2br w:val="nil"/>
                    <w:tr2bl w:val="nil"/>
                  </w:tcBorders>
                  <w:shd w:val="clear"/>
                  <w:vAlign w:val="center"/>
                </w:tcPr>
                <w:p w14:paraId="5AA6ABDA">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774" w:type="dxa"/>
                  <w:tcBorders>
                    <w:tl2br w:val="nil"/>
                    <w:tr2bl w:val="nil"/>
                  </w:tcBorders>
                  <w:shd w:val="clear" w:color="auto" w:fill="auto"/>
                  <w:vAlign w:val="center"/>
                </w:tcPr>
                <w:p w14:paraId="45538F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774" w:type="dxa"/>
                  <w:tcBorders>
                    <w:tl2br w:val="nil"/>
                    <w:tr2bl w:val="nil"/>
                  </w:tcBorders>
                  <w:shd w:val="clear" w:color="auto" w:fill="auto"/>
                  <w:vAlign w:val="center"/>
                </w:tcPr>
                <w:p w14:paraId="324EF91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 w:val="24"/>
                      <w:szCs w:val="24"/>
                      <w:highlight w:val="none"/>
                      <w:lang w:val="en-US" w:eastAsia="zh-CN"/>
                    </w:rPr>
                    <w:t>***</w:t>
                  </w:r>
                </w:p>
              </w:tc>
            </w:tr>
            <w:tr w14:paraId="18ED67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gridSpan w:val="2"/>
                </w:tcPr>
                <w:p w14:paraId="7815DBEC">
                  <w:pPr>
                    <w:widowControl/>
                    <w:jc w:val="center"/>
                    <w:textAlignment w:val="center"/>
                    <w:rPr>
                      <w:rFonts w:hint="default" w:ascii="Times New Roman" w:hAnsi="Times New Roman" w:cs="Times New Roman"/>
                      <w:color w:val="auto"/>
                      <w:sz w:val="22"/>
                      <w:szCs w:val="22"/>
                      <w:highlight w:val="none"/>
                    </w:rPr>
                  </w:pPr>
                </w:p>
              </w:tc>
              <w:tc>
                <w:tcPr>
                  <w:tcW w:w="0" w:type="auto"/>
                  <w:gridSpan w:val="3"/>
                </w:tcPr>
                <w:p w14:paraId="54C3AF46">
                  <w:pPr>
                    <w:widowControl/>
                    <w:jc w:val="center"/>
                    <w:textAlignment w:val="center"/>
                    <w:rPr>
                      <w:rFonts w:hint="default" w:ascii="Times New Roman" w:hAnsi="Times New Roman" w:cs="Times New Roman"/>
                      <w:color w:val="auto"/>
                      <w:szCs w:val="21"/>
                      <w:highlight w:val="none"/>
                    </w:rPr>
                  </w:pPr>
                </w:p>
              </w:tc>
              <w:tc>
                <w:tcPr>
                  <w:tcW w:w="0" w:type="auto"/>
                  <w:shd w:val="clear"/>
                  <w:vAlign w:val="center"/>
                </w:tcPr>
                <w:p w14:paraId="3545416D">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774" w:type="dxa"/>
                </w:tcPr>
                <w:p w14:paraId="381BA1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774" w:type="dxa"/>
                </w:tcPr>
                <w:p w14:paraId="63921F7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 w:val="24"/>
                      <w:szCs w:val="24"/>
                      <w:highlight w:val="none"/>
                      <w:lang w:val="en-US" w:eastAsia="zh-CN"/>
                    </w:rPr>
                    <w:t>***</w:t>
                  </w:r>
                </w:p>
              </w:tc>
            </w:tr>
            <w:tr w14:paraId="364055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gridSpan w:val="2"/>
                </w:tcPr>
                <w:p w14:paraId="3648BC87">
                  <w:pPr>
                    <w:widowControl/>
                    <w:jc w:val="center"/>
                    <w:textAlignment w:val="center"/>
                    <w:rPr>
                      <w:rFonts w:hint="default" w:ascii="Times New Roman" w:hAnsi="Times New Roman" w:cs="Times New Roman"/>
                      <w:color w:val="auto"/>
                      <w:sz w:val="22"/>
                      <w:szCs w:val="22"/>
                      <w:highlight w:val="none"/>
                    </w:rPr>
                  </w:pPr>
                </w:p>
              </w:tc>
              <w:tc>
                <w:tcPr>
                  <w:tcW w:w="0" w:type="auto"/>
                  <w:gridSpan w:val="3"/>
                </w:tcPr>
                <w:p w14:paraId="2588DDEC">
                  <w:pPr>
                    <w:widowControl/>
                    <w:jc w:val="center"/>
                    <w:textAlignment w:val="center"/>
                    <w:rPr>
                      <w:rFonts w:hint="default" w:ascii="Times New Roman" w:hAnsi="Times New Roman" w:cs="Times New Roman"/>
                      <w:color w:val="auto"/>
                      <w:szCs w:val="21"/>
                      <w:highlight w:val="none"/>
                    </w:rPr>
                  </w:pPr>
                </w:p>
              </w:tc>
              <w:tc>
                <w:tcPr>
                  <w:tcW w:w="0" w:type="auto"/>
                  <w:shd w:val="clear"/>
                  <w:vAlign w:val="center"/>
                </w:tcPr>
                <w:p w14:paraId="0497F76F">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z w:val="24"/>
                      <w:szCs w:val="24"/>
                      <w:highlight w:val="none"/>
                      <w:lang w:val="en-US" w:eastAsia="zh-CN"/>
                    </w:rPr>
                    <w:t>***</w:t>
                  </w:r>
                </w:p>
              </w:tc>
              <w:tc>
                <w:tcPr>
                  <w:tcW w:w="774" w:type="dxa"/>
                </w:tcPr>
                <w:p w14:paraId="43B037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sz w:val="24"/>
                      <w:szCs w:val="24"/>
                      <w:highlight w:val="none"/>
                      <w:lang w:val="en-US" w:eastAsia="zh-CN"/>
                    </w:rPr>
                    <w:t>***</w:t>
                  </w:r>
                </w:p>
              </w:tc>
              <w:tc>
                <w:tcPr>
                  <w:tcW w:w="774" w:type="dxa"/>
                </w:tcPr>
                <w:p w14:paraId="047D636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 w:val="24"/>
                      <w:szCs w:val="24"/>
                      <w:highlight w:val="none"/>
                      <w:lang w:val="en-US" w:eastAsia="zh-CN"/>
                    </w:rPr>
                    <w:t>***</w:t>
                  </w:r>
                </w:p>
              </w:tc>
            </w:tr>
          </w:tbl>
          <w:p w14:paraId="789E7BE7">
            <w:pPr>
              <w:pStyle w:val="37"/>
              <w:bidi w:val="0"/>
              <w:rPr>
                <w:rFonts w:hint="default" w:ascii="Times New Roman" w:hAnsi="Times New Roman" w:cs="Times New Roman"/>
              </w:rPr>
            </w:pPr>
            <w:r>
              <w:rPr>
                <w:rFonts w:hint="default" w:ascii="Times New Roman" w:hAnsi="Times New Roman" w:cs="Times New Roman"/>
              </w:rPr>
              <w:t>表4.6  无组织排放核算表</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1485"/>
              <w:gridCol w:w="1666"/>
              <w:gridCol w:w="2160"/>
              <w:gridCol w:w="2055"/>
            </w:tblGrid>
            <w:tr w14:paraId="5DF473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55" w:type="dxa"/>
                  <w:tcBorders>
                    <w:tl2br w:val="nil"/>
                    <w:tr2bl w:val="nil"/>
                  </w:tcBorders>
                  <w:shd w:val="clear" w:color="auto" w:fill="auto"/>
                  <w:vAlign w:val="center"/>
                </w:tcPr>
                <w:p w14:paraId="309ACB05">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序号</w:t>
                  </w:r>
                </w:p>
              </w:tc>
              <w:tc>
                <w:tcPr>
                  <w:tcW w:w="1504" w:type="dxa"/>
                  <w:tcBorders>
                    <w:tl2br w:val="nil"/>
                    <w:tr2bl w:val="nil"/>
                  </w:tcBorders>
                  <w:shd w:val="clear" w:color="auto" w:fill="auto"/>
                  <w:vAlign w:val="center"/>
                </w:tcPr>
                <w:p w14:paraId="03438D86">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产污环节</w:t>
                  </w:r>
                </w:p>
              </w:tc>
              <w:tc>
                <w:tcPr>
                  <w:tcW w:w="1688" w:type="dxa"/>
                  <w:tcBorders>
                    <w:tl2br w:val="nil"/>
                    <w:tr2bl w:val="nil"/>
                  </w:tcBorders>
                  <w:shd w:val="clear" w:color="auto" w:fill="auto"/>
                  <w:vAlign w:val="center"/>
                </w:tcPr>
                <w:p w14:paraId="3F72B331">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污染物</w:t>
                  </w:r>
                </w:p>
              </w:tc>
              <w:tc>
                <w:tcPr>
                  <w:tcW w:w="2190" w:type="dxa"/>
                  <w:tcBorders>
                    <w:tl2br w:val="nil"/>
                    <w:tr2bl w:val="nil"/>
                  </w:tcBorders>
                  <w:shd w:val="clear" w:color="auto" w:fill="auto"/>
                  <w:vAlign w:val="center"/>
                </w:tcPr>
                <w:p w14:paraId="76662C97">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主要污染防治措施</w:t>
                  </w:r>
                </w:p>
              </w:tc>
              <w:tc>
                <w:tcPr>
                  <w:tcW w:w="2083" w:type="dxa"/>
                  <w:tcBorders>
                    <w:tl2br w:val="nil"/>
                    <w:tr2bl w:val="nil"/>
                  </w:tcBorders>
                  <w:shd w:val="clear" w:color="auto" w:fill="auto"/>
                  <w:vAlign w:val="center"/>
                </w:tcPr>
                <w:p w14:paraId="5BE9BD81">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年排放量（kg/a）</w:t>
                  </w:r>
                </w:p>
              </w:tc>
            </w:tr>
            <w:tr w14:paraId="0FE30E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tcBorders>
                    <w:tl2br w:val="nil"/>
                    <w:tr2bl w:val="nil"/>
                  </w:tcBorders>
                  <w:shd w:val="clear" w:color="auto" w:fill="auto"/>
                  <w:vAlign w:val="center"/>
                </w:tcPr>
                <w:p w14:paraId="295ACA18">
                  <w:pPr>
                    <w:widowControl/>
                    <w:adjustRightInd w:val="0"/>
                    <w:snapToGrid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w:t>
                  </w:r>
                </w:p>
              </w:tc>
              <w:tc>
                <w:tcPr>
                  <w:tcW w:w="1504" w:type="dxa"/>
                  <w:tcBorders>
                    <w:tl2br w:val="nil"/>
                    <w:tr2bl w:val="nil"/>
                  </w:tcBorders>
                  <w:shd w:val="clear" w:color="auto" w:fill="auto"/>
                  <w:vAlign w:val="center"/>
                </w:tcPr>
                <w:p w14:paraId="547F9ACF">
                  <w:pPr>
                    <w:widowControl/>
                    <w:adjustRightInd w:val="0"/>
                    <w:snapToGrid w:val="0"/>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1#实验</w:t>
                  </w:r>
                  <w:r>
                    <w:rPr>
                      <w:rFonts w:hint="default" w:ascii="Times New Roman" w:hAnsi="Times New Roman" w:cs="Times New Roman"/>
                      <w:color w:val="auto"/>
                      <w:szCs w:val="21"/>
                      <w:highlight w:val="none"/>
                      <w:lang w:val="en-US" w:eastAsia="zh-CN"/>
                    </w:rPr>
                    <w:t>区</w:t>
                  </w:r>
                </w:p>
              </w:tc>
              <w:tc>
                <w:tcPr>
                  <w:tcW w:w="1688" w:type="dxa"/>
                  <w:tcBorders>
                    <w:tl2br w:val="nil"/>
                    <w:tr2bl w:val="nil"/>
                  </w:tcBorders>
                  <w:shd w:val="clear" w:color="auto" w:fill="auto"/>
                  <w:vAlign w:val="center"/>
                </w:tcPr>
                <w:p w14:paraId="0BB40AE8">
                  <w:pPr>
                    <w:widowControl/>
                    <w:adjustRightInd w:val="0"/>
                    <w:snapToGrid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非甲烷总烃</w:t>
                  </w:r>
                </w:p>
              </w:tc>
              <w:tc>
                <w:tcPr>
                  <w:tcW w:w="2190" w:type="dxa"/>
                  <w:tcBorders>
                    <w:tl2br w:val="nil"/>
                    <w:tr2bl w:val="nil"/>
                  </w:tcBorders>
                  <w:shd w:val="clear" w:color="auto" w:fill="auto"/>
                  <w:vAlign w:val="center"/>
                </w:tcPr>
                <w:p w14:paraId="1E66B74A">
                  <w:pPr>
                    <w:widowControl/>
                    <w:adjustRightInd w:val="0"/>
                    <w:snapToGrid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val="en-US" w:eastAsia="zh-CN" w:bidi="ar"/>
                    </w:rPr>
                    <w:t>加强</w:t>
                  </w:r>
                  <w:r>
                    <w:rPr>
                      <w:rFonts w:hint="default" w:ascii="Times New Roman" w:hAnsi="Times New Roman" w:cs="Times New Roman"/>
                      <w:color w:val="auto"/>
                      <w:kern w:val="0"/>
                      <w:szCs w:val="21"/>
                      <w:highlight w:val="none"/>
                      <w:lang w:bidi="ar"/>
                    </w:rPr>
                    <w:t>通风</w:t>
                  </w:r>
                </w:p>
              </w:tc>
              <w:tc>
                <w:tcPr>
                  <w:tcW w:w="2083" w:type="dxa"/>
                  <w:tcBorders>
                    <w:tl2br w:val="nil"/>
                    <w:tr2bl w:val="nil"/>
                  </w:tcBorders>
                  <w:shd w:val="clear" w:color="auto" w:fill="auto"/>
                  <w:vAlign w:val="center"/>
                </w:tcPr>
                <w:p w14:paraId="3A013DE1">
                  <w:pPr>
                    <w:keepNext w:val="0"/>
                    <w:keepLines w:val="0"/>
                    <w:widowControl/>
                    <w:suppressLineNumbers w:val="0"/>
                    <w:jc w:val="center"/>
                    <w:textAlignment w:val="center"/>
                    <w:rPr>
                      <w:rFonts w:hint="default" w:ascii="Times New Roman" w:hAnsi="Times New Roman" w:cs="Times New Roman"/>
                      <w:color w:val="auto"/>
                      <w:kern w:val="0"/>
                      <w:szCs w:val="21"/>
                      <w:highlight w:val="none"/>
                      <w:lang w:val="en-US" w:bidi="ar"/>
                    </w:rPr>
                  </w:pPr>
                  <w:r>
                    <w:rPr>
                      <w:rFonts w:hint="eastAsia" w:cs="Times New Roman"/>
                      <w:color w:val="auto"/>
                      <w:sz w:val="24"/>
                      <w:szCs w:val="24"/>
                      <w:highlight w:val="none"/>
                      <w:lang w:val="en-US" w:eastAsia="zh-CN"/>
                    </w:rPr>
                    <w:t>***</w:t>
                  </w:r>
                </w:p>
              </w:tc>
            </w:tr>
            <w:tr w14:paraId="3EDB8E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tcBorders>
                    <w:tl2br w:val="nil"/>
                    <w:tr2bl w:val="nil"/>
                  </w:tcBorders>
                  <w:shd w:val="clear" w:color="auto" w:fill="auto"/>
                  <w:vAlign w:val="center"/>
                </w:tcPr>
                <w:p w14:paraId="770755AF">
                  <w:pPr>
                    <w:widowControl/>
                    <w:adjustRightInd w:val="0"/>
                    <w:snapToGrid w:val="0"/>
                    <w:jc w:val="center"/>
                    <w:textAlignment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cs="Times New Roman"/>
                      <w:color w:val="auto"/>
                      <w:kern w:val="0"/>
                      <w:szCs w:val="21"/>
                      <w:highlight w:val="none"/>
                      <w:lang w:val="en-US" w:eastAsia="zh-CN" w:bidi="ar"/>
                    </w:rPr>
                    <w:t>2</w:t>
                  </w:r>
                </w:p>
              </w:tc>
              <w:tc>
                <w:tcPr>
                  <w:tcW w:w="1504" w:type="dxa"/>
                  <w:tcBorders>
                    <w:tl2br w:val="nil"/>
                    <w:tr2bl w:val="nil"/>
                  </w:tcBorders>
                  <w:shd w:val="clear" w:color="auto" w:fill="auto"/>
                  <w:vAlign w:val="center"/>
                </w:tcPr>
                <w:p w14:paraId="53815123">
                  <w:pPr>
                    <w:widowControl/>
                    <w:adjustRightInd w:val="0"/>
                    <w:snapToGrid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#实验</w:t>
                  </w:r>
                  <w:r>
                    <w:rPr>
                      <w:rFonts w:hint="default" w:ascii="Times New Roman" w:hAnsi="Times New Roman" w:cs="Times New Roman"/>
                      <w:color w:val="auto"/>
                      <w:szCs w:val="21"/>
                      <w:highlight w:val="none"/>
                      <w:lang w:val="en-US" w:eastAsia="zh-CN"/>
                    </w:rPr>
                    <w:t>区</w:t>
                  </w:r>
                </w:p>
              </w:tc>
              <w:tc>
                <w:tcPr>
                  <w:tcW w:w="1688" w:type="dxa"/>
                  <w:tcBorders>
                    <w:tl2br w:val="nil"/>
                    <w:tr2bl w:val="nil"/>
                  </w:tcBorders>
                  <w:shd w:val="clear" w:color="auto" w:fill="auto"/>
                  <w:vAlign w:val="center"/>
                </w:tcPr>
                <w:p w14:paraId="37E78A13">
                  <w:pPr>
                    <w:widowControl/>
                    <w:adjustRightInd w:val="0"/>
                    <w:snapToGrid w:val="0"/>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非甲烷总烃</w:t>
                  </w:r>
                </w:p>
              </w:tc>
              <w:tc>
                <w:tcPr>
                  <w:tcW w:w="2190" w:type="dxa"/>
                  <w:tcBorders>
                    <w:tl2br w:val="nil"/>
                    <w:tr2bl w:val="nil"/>
                  </w:tcBorders>
                  <w:shd w:val="clear" w:color="auto" w:fill="auto"/>
                  <w:vAlign w:val="center"/>
                </w:tcPr>
                <w:p w14:paraId="06A52A20">
                  <w:pPr>
                    <w:widowControl/>
                    <w:adjustRightInd w:val="0"/>
                    <w:snapToGrid w:val="0"/>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val="en-US" w:eastAsia="zh-CN" w:bidi="ar"/>
                    </w:rPr>
                    <w:t>加强</w:t>
                  </w:r>
                  <w:r>
                    <w:rPr>
                      <w:rFonts w:hint="default" w:ascii="Times New Roman" w:hAnsi="Times New Roman" w:cs="Times New Roman"/>
                      <w:color w:val="auto"/>
                      <w:kern w:val="0"/>
                      <w:szCs w:val="21"/>
                      <w:highlight w:val="none"/>
                      <w:lang w:bidi="ar"/>
                    </w:rPr>
                    <w:t>通风</w:t>
                  </w:r>
                </w:p>
              </w:tc>
              <w:tc>
                <w:tcPr>
                  <w:tcW w:w="2083" w:type="dxa"/>
                  <w:tcBorders>
                    <w:tl2br w:val="nil"/>
                    <w:tr2bl w:val="nil"/>
                  </w:tcBorders>
                  <w:shd w:val="clear" w:color="auto" w:fill="auto"/>
                  <w:vAlign w:val="center"/>
                </w:tcPr>
                <w:p w14:paraId="4531D2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color w:val="auto"/>
                      <w:sz w:val="24"/>
                      <w:szCs w:val="24"/>
                      <w:highlight w:val="none"/>
                      <w:lang w:val="en-US" w:eastAsia="zh-CN"/>
                    </w:rPr>
                    <w:t>***</w:t>
                  </w:r>
                </w:p>
              </w:tc>
            </w:tr>
            <w:tr w14:paraId="40DDA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tcBorders>
                    <w:tl2br w:val="nil"/>
                    <w:tr2bl w:val="nil"/>
                  </w:tcBorders>
                  <w:shd w:val="clear" w:color="auto" w:fill="auto"/>
                  <w:vAlign w:val="center"/>
                </w:tcPr>
                <w:p w14:paraId="7C159441">
                  <w:pPr>
                    <w:widowControl/>
                    <w:adjustRightInd w:val="0"/>
                    <w:snapToGrid w:val="0"/>
                    <w:jc w:val="center"/>
                    <w:textAlignment w:val="center"/>
                    <w:rPr>
                      <w:rFonts w:hint="default" w:ascii="Times New Roman" w:hAnsi="Times New Roman" w:cs="Times New Roman"/>
                      <w:color w:val="auto"/>
                      <w:kern w:val="0"/>
                      <w:szCs w:val="21"/>
                      <w:highlight w:val="none"/>
                      <w:lang w:val="en-US" w:eastAsia="zh-CN" w:bidi="ar"/>
                    </w:rPr>
                  </w:pPr>
                  <w:r>
                    <w:rPr>
                      <w:rFonts w:hint="default" w:ascii="Times New Roman" w:hAnsi="Times New Roman" w:cs="Times New Roman"/>
                      <w:color w:val="auto"/>
                      <w:kern w:val="0"/>
                      <w:szCs w:val="21"/>
                      <w:highlight w:val="none"/>
                      <w:lang w:val="en-US" w:eastAsia="zh-CN" w:bidi="ar"/>
                    </w:rPr>
                    <w:t>3</w:t>
                  </w:r>
                </w:p>
              </w:tc>
              <w:tc>
                <w:tcPr>
                  <w:tcW w:w="1504" w:type="dxa"/>
                  <w:tcBorders>
                    <w:tl2br w:val="nil"/>
                    <w:tr2bl w:val="nil"/>
                  </w:tcBorders>
                  <w:shd w:val="clear" w:color="auto" w:fill="auto"/>
                  <w:vAlign w:val="center"/>
                </w:tcPr>
                <w:p w14:paraId="64DD3F2E">
                  <w:pPr>
                    <w:widowControl/>
                    <w:adjustRightInd w:val="0"/>
                    <w:snapToGrid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危废暂存库</w:t>
                  </w:r>
                </w:p>
              </w:tc>
              <w:tc>
                <w:tcPr>
                  <w:tcW w:w="1688" w:type="dxa"/>
                  <w:tcBorders>
                    <w:tl2br w:val="nil"/>
                    <w:tr2bl w:val="nil"/>
                  </w:tcBorders>
                  <w:shd w:val="clear" w:color="auto" w:fill="auto"/>
                  <w:vAlign w:val="center"/>
                </w:tcPr>
                <w:p w14:paraId="11837105">
                  <w:pPr>
                    <w:widowControl/>
                    <w:adjustRightInd w:val="0"/>
                    <w:snapToGrid w:val="0"/>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非甲烷总烃</w:t>
                  </w:r>
                </w:p>
              </w:tc>
              <w:tc>
                <w:tcPr>
                  <w:tcW w:w="2190" w:type="dxa"/>
                  <w:tcBorders>
                    <w:tl2br w:val="nil"/>
                    <w:tr2bl w:val="nil"/>
                  </w:tcBorders>
                  <w:shd w:val="clear" w:color="auto" w:fill="auto"/>
                  <w:vAlign w:val="center"/>
                </w:tcPr>
                <w:p w14:paraId="6905A373">
                  <w:pPr>
                    <w:widowControl/>
                    <w:adjustRightInd w:val="0"/>
                    <w:snapToGrid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Cs w:val="21"/>
                      <w:highlight w:val="none"/>
                      <w:lang w:val="en-US" w:eastAsia="zh-CN" w:bidi="ar"/>
                    </w:rPr>
                    <w:t>加强</w:t>
                  </w:r>
                  <w:r>
                    <w:rPr>
                      <w:rFonts w:hint="default" w:ascii="Times New Roman" w:hAnsi="Times New Roman" w:cs="Times New Roman"/>
                      <w:color w:val="auto"/>
                      <w:kern w:val="0"/>
                      <w:szCs w:val="21"/>
                      <w:highlight w:val="none"/>
                      <w:lang w:bidi="ar"/>
                    </w:rPr>
                    <w:t>通风</w:t>
                  </w:r>
                </w:p>
              </w:tc>
              <w:tc>
                <w:tcPr>
                  <w:tcW w:w="2083" w:type="dxa"/>
                  <w:tcBorders>
                    <w:tl2br w:val="nil"/>
                    <w:tr2bl w:val="nil"/>
                  </w:tcBorders>
                  <w:shd w:val="clear" w:color="auto" w:fill="auto"/>
                  <w:vAlign w:val="center"/>
                </w:tcPr>
                <w:p w14:paraId="674B41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color w:val="auto"/>
                      <w:sz w:val="24"/>
                      <w:szCs w:val="24"/>
                      <w:highlight w:val="none"/>
                      <w:lang w:val="en-US" w:eastAsia="zh-CN"/>
                    </w:rPr>
                    <w:t>***</w:t>
                  </w:r>
                </w:p>
              </w:tc>
            </w:tr>
            <w:tr w14:paraId="0625E3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220" w:type="dxa"/>
                  <w:gridSpan w:val="5"/>
                  <w:tcBorders>
                    <w:tl2br w:val="nil"/>
                    <w:tr2bl w:val="nil"/>
                  </w:tcBorders>
                  <w:shd w:val="clear" w:color="auto" w:fill="auto"/>
                  <w:vAlign w:val="center"/>
                </w:tcPr>
                <w:p w14:paraId="016345B8">
                  <w:pPr>
                    <w:widowControl/>
                    <w:adjustRightInd w:val="0"/>
                    <w:snapToGrid w:val="0"/>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无组织排放总计</w:t>
                  </w:r>
                </w:p>
              </w:tc>
            </w:tr>
            <w:tr w14:paraId="3144E9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259" w:type="dxa"/>
                  <w:gridSpan w:val="2"/>
                  <w:tcBorders>
                    <w:tl2br w:val="nil"/>
                    <w:tr2bl w:val="nil"/>
                  </w:tcBorders>
                  <w:shd w:val="clear" w:color="auto" w:fill="auto"/>
                  <w:vAlign w:val="center"/>
                </w:tcPr>
                <w:p w14:paraId="2D367142">
                  <w:pPr>
                    <w:widowControl/>
                    <w:adjustRightInd w:val="0"/>
                    <w:snapToGrid w:val="0"/>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合计</w:t>
                  </w:r>
                </w:p>
              </w:tc>
              <w:tc>
                <w:tcPr>
                  <w:tcW w:w="3878" w:type="dxa"/>
                  <w:gridSpan w:val="2"/>
                  <w:tcBorders>
                    <w:tl2br w:val="nil"/>
                    <w:tr2bl w:val="nil"/>
                  </w:tcBorders>
                  <w:shd w:val="clear" w:color="auto" w:fill="auto"/>
                  <w:vAlign w:val="center"/>
                </w:tcPr>
                <w:p w14:paraId="43E0225C">
                  <w:pPr>
                    <w:widowControl/>
                    <w:adjustRightInd w:val="0"/>
                    <w:snapToGrid w:val="0"/>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highlight w:val="none"/>
                    </w:rPr>
                    <w:t>非甲烷总烃</w:t>
                  </w:r>
                </w:p>
              </w:tc>
              <w:tc>
                <w:tcPr>
                  <w:tcW w:w="2083" w:type="dxa"/>
                  <w:tcBorders>
                    <w:tl2br w:val="nil"/>
                    <w:tr2bl w:val="nil"/>
                  </w:tcBorders>
                  <w:shd w:val="clear" w:color="auto" w:fill="auto"/>
                  <w:vAlign w:val="center"/>
                </w:tcPr>
                <w:p w14:paraId="1184800E">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sz w:val="24"/>
                      <w:szCs w:val="24"/>
                      <w:highlight w:val="none"/>
                      <w:lang w:val="en-US" w:eastAsia="zh-CN"/>
                    </w:rPr>
                    <w:t>***</w:t>
                  </w:r>
                </w:p>
              </w:tc>
            </w:tr>
          </w:tbl>
          <w:p w14:paraId="768EE2F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本项目非正常情况主要指废气处理设施出现故障，则该状态下废气排放情况如下：</w:t>
            </w:r>
          </w:p>
          <w:p w14:paraId="749EA374">
            <w:pPr>
              <w:pStyle w:val="37"/>
              <w:bidi w:val="0"/>
              <w:rPr>
                <w:rFonts w:hint="default" w:ascii="Times New Roman" w:hAnsi="Times New Roman" w:cs="Times New Roman"/>
              </w:rPr>
            </w:pPr>
            <w:r>
              <w:rPr>
                <w:rFonts w:hint="default" w:ascii="Times New Roman" w:hAnsi="Times New Roman" w:cs="Times New Roman"/>
              </w:rPr>
              <w:t>表4.7  非正常工况下有组织废气污染源强一览表</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172"/>
              <w:gridCol w:w="747"/>
              <w:gridCol w:w="1159"/>
              <w:gridCol w:w="1012"/>
              <w:gridCol w:w="755"/>
              <w:gridCol w:w="895"/>
              <w:gridCol w:w="748"/>
              <w:gridCol w:w="862"/>
            </w:tblGrid>
            <w:tr w14:paraId="6B7962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0" w:type="pct"/>
                  <w:vMerge w:val="restart"/>
                  <w:tcBorders>
                    <w:tl2br w:val="nil"/>
                    <w:tr2bl w:val="nil"/>
                  </w:tcBorders>
                  <w:vAlign w:val="center"/>
                </w:tcPr>
                <w:p w14:paraId="4A120AE7">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污染源</w:t>
                  </w:r>
                </w:p>
              </w:tc>
              <w:tc>
                <w:tcPr>
                  <w:tcW w:w="722" w:type="pct"/>
                  <w:vMerge w:val="restart"/>
                  <w:tcBorders>
                    <w:tl2br w:val="nil"/>
                    <w:tr2bl w:val="nil"/>
                  </w:tcBorders>
                  <w:vAlign w:val="center"/>
                </w:tcPr>
                <w:p w14:paraId="1D057F1A">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污染物名称</w:t>
                  </w:r>
                </w:p>
              </w:tc>
              <w:tc>
                <w:tcPr>
                  <w:tcW w:w="460" w:type="pct"/>
                  <w:vMerge w:val="restart"/>
                  <w:tcBorders>
                    <w:tl2br w:val="nil"/>
                    <w:tr2bl w:val="nil"/>
                  </w:tcBorders>
                  <w:vAlign w:val="center"/>
                </w:tcPr>
                <w:p w14:paraId="07E63141">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排气量</w:t>
                  </w:r>
                </w:p>
                <w:p w14:paraId="6D992D8C">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m3/h</w:t>
                  </w:r>
                </w:p>
              </w:tc>
              <w:tc>
                <w:tcPr>
                  <w:tcW w:w="714" w:type="pct"/>
                  <w:vMerge w:val="restart"/>
                  <w:tcBorders>
                    <w:tl2br w:val="nil"/>
                    <w:tr2bl w:val="nil"/>
                  </w:tcBorders>
                  <w:vAlign w:val="center"/>
                </w:tcPr>
                <w:p w14:paraId="4CF42B24">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非正常排放原因</w:t>
                  </w:r>
                </w:p>
              </w:tc>
              <w:tc>
                <w:tcPr>
                  <w:tcW w:w="623" w:type="pct"/>
                  <w:vMerge w:val="restart"/>
                  <w:tcBorders>
                    <w:tl2br w:val="nil"/>
                    <w:tr2bl w:val="nil"/>
                  </w:tcBorders>
                  <w:vAlign w:val="center"/>
                </w:tcPr>
                <w:p w14:paraId="335914FF">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非正常排放时间</w:t>
                  </w:r>
                </w:p>
              </w:tc>
              <w:tc>
                <w:tcPr>
                  <w:tcW w:w="465" w:type="pct"/>
                  <w:vMerge w:val="restart"/>
                  <w:tcBorders>
                    <w:tl2br w:val="nil"/>
                    <w:tr2bl w:val="nil"/>
                  </w:tcBorders>
                  <w:vAlign w:val="center"/>
                </w:tcPr>
                <w:p w14:paraId="661CAE87">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发生频次</w:t>
                  </w:r>
                </w:p>
              </w:tc>
              <w:tc>
                <w:tcPr>
                  <w:tcW w:w="1012" w:type="pct"/>
                  <w:gridSpan w:val="2"/>
                  <w:tcBorders>
                    <w:tl2br w:val="nil"/>
                    <w:tr2bl w:val="nil"/>
                  </w:tcBorders>
                  <w:vAlign w:val="center"/>
                </w:tcPr>
                <w:p w14:paraId="727D52E7">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排放情况</w:t>
                  </w:r>
                </w:p>
              </w:tc>
              <w:tc>
                <w:tcPr>
                  <w:tcW w:w="531" w:type="pct"/>
                  <w:vMerge w:val="restart"/>
                  <w:tcBorders>
                    <w:tl2br w:val="nil"/>
                    <w:tr2bl w:val="nil"/>
                  </w:tcBorders>
                  <w:vAlign w:val="center"/>
                </w:tcPr>
                <w:p w14:paraId="10094BCB">
                  <w:pPr>
                    <w:pStyle w:val="20"/>
                    <w:bidi w:val="0"/>
                    <w:rPr>
                      <w:rFonts w:hint="default" w:ascii="Times New Roman" w:hAnsi="Times New Roman" w:cs="Times New Roman"/>
                      <w:sz w:val="20"/>
                      <w:szCs w:val="21"/>
                    </w:rPr>
                  </w:pPr>
                  <w:r>
                    <w:rPr>
                      <w:rFonts w:hint="default" w:ascii="Times New Roman" w:hAnsi="Times New Roman" w:cs="Times New Roman"/>
                      <w:b/>
                      <w:bCs/>
                      <w:sz w:val="20"/>
                      <w:szCs w:val="21"/>
                    </w:rPr>
                    <w:t>应对措施</w:t>
                  </w:r>
                </w:p>
              </w:tc>
            </w:tr>
            <w:tr w14:paraId="28AA7A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0" w:type="pct"/>
                  <w:vMerge w:val="continue"/>
                  <w:tcBorders>
                    <w:tl2br w:val="nil"/>
                    <w:tr2bl w:val="nil"/>
                  </w:tcBorders>
                  <w:vAlign w:val="center"/>
                </w:tcPr>
                <w:p w14:paraId="079E3BA0">
                  <w:pPr>
                    <w:pStyle w:val="20"/>
                    <w:bidi w:val="0"/>
                    <w:rPr>
                      <w:rFonts w:hint="default" w:ascii="Times New Roman" w:hAnsi="Times New Roman" w:cs="Times New Roman"/>
                      <w:b/>
                      <w:bCs/>
                      <w:sz w:val="20"/>
                      <w:szCs w:val="21"/>
                    </w:rPr>
                  </w:pPr>
                </w:p>
              </w:tc>
              <w:tc>
                <w:tcPr>
                  <w:tcW w:w="722" w:type="pct"/>
                  <w:vMerge w:val="continue"/>
                  <w:tcBorders>
                    <w:tl2br w:val="nil"/>
                    <w:tr2bl w:val="nil"/>
                  </w:tcBorders>
                  <w:vAlign w:val="center"/>
                </w:tcPr>
                <w:p w14:paraId="35B9DA20">
                  <w:pPr>
                    <w:pStyle w:val="20"/>
                    <w:bidi w:val="0"/>
                    <w:rPr>
                      <w:rFonts w:hint="default" w:ascii="Times New Roman" w:hAnsi="Times New Roman" w:cs="Times New Roman"/>
                      <w:b/>
                      <w:bCs/>
                      <w:sz w:val="20"/>
                      <w:szCs w:val="21"/>
                    </w:rPr>
                  </w:pPr>
                </w:p>
              </w:tc>
              <w:tc>
                <w:tcPr>
                  <w:tcW w:w="460" w:type="pct"/>
                  <w:vMerge w:val="continue"/>
                  <w:tcBorders>
                    <w:tl2br w:val="nil"/>
                    <w:tr2bl w:val="nil"/>
                  </w:tcBorders>
                  <w:vAlign w:val="center"/>
                </w:tcPr>
                <w:p w14:paraId="1F5B8346">
                  <w:pPr>
                    <w:pStyle w:val="20"/>
                    <w:bidi w:val="0"/>
                    <w:rPr>
                      <w:rFonts w:hint="default" w:ascii="Times New Roman" w:hAnsi="Times New Roman" w:cs="Times New Roman"/>
                      <w:b/>
                      <w:bCs/>
                      <w:sz w:val="20"/>
                      <w:szCs w:val="21"/>
                    </w:rPr>
                  </w:pPr>
                </w:p>
              </w:tc>
              <w:tc>
                <w:tcPr>
                  <w:tcW w:w="714" w:type="pct"/>
                  <w:vMerge w:val="continue"/>
                  <w:tcBorders>
                    <w:tl2br w:val="nil"/>
                    <w:tr2bl w:val="nil"/>
                  </w:tcBorders>
                  <w:vAlign w:val="center"/>
                </w:tcPr>
                <w:p w14:paraId="50D3A9FE">
                  <w:pPr>
                    <w:pStyle w:val="20"/>
                    <w:bidi w:val="0"/>
                    <w:rPr>
                      <w:rFonts w:hint="default" w:ascii="Times New Roman" w:hAnsi="Times New Roman" w:cs="Times New Roman"/>
                      <w:b/>
                      <w:bCs/>
                      <w:sz w:val="20"/>
                      <w:szCs w:val="21"/>
                    </w:rPr>
                  </w:pPr>
                </w:p>
              </w:tc>
              <w:tc>
                <w:tcPr>
                  <w:tcW w:w="623" w:type="pct"/>
                  <w:vMerge w:val="continue"/>
                  <w:tcBorders>
                    <w:tl2br w:val="nil"/>
                    <w:tr2bl w:val="nil"/>
                  </w:tcBorders>
                  <w:vAlign w:val="center"/>
                </w:tcPr>
                <w:p w14:paraId="128ABFEF">
                  <w:pPr>
                    <w:pStyle w:val="20"/>
                    <w:bidi w:val="0"/>
                    <w:rPr>
                      <w:rFonts w:hint="default" w:ascii="Times New Roman" w:hAnsi="Times New Roman" w:cs="Times New Roman"/>
                      <w:b/>
                      <w:bCs/>
                      <w:sz w:val="20"/>
                      <w:szCs w:val="21"/>
                    </w:rPr>
                  </w:pPr>
                </w:p>
              </w:tc>
              <w:tc>
                <w:tcPr>
                  <w:tcW w:w="465" w:type="pct"/>
                  <w:vMerge w:val="continue"/>
                  <w:tcBorders>
                    <w:tl2br w:val="nil"/>
                    <w:tr2bl w:val="nil"/>
                  </w:tcBorders>
                  <w:vAlign w:val="center"/>
                </w:tcPr>
                <w:p w14:paraId="04D3D56E">
                  <w:pPr>
                    <w:pStyle w:val="20"/>
                    <w:bidi w:val="0"/>
                    <w:rPr>
                      <w:rFonts w:hint="default" w:ascii="Times New Roman" w:hAnsi="Times New Roman" w:cs="Times New Roman"/>
                      <w:b/>
                      <w:bCs/>
                      <w:sz w:val="20"/>
                      <w:szCs w:val="21"/>
                    </w:rPr>
                  </w:pPr>
                </w:p>
              </w:tc>
              <w:tc>
                <w:tcPr>
                  <w:tcW w:w="551" w:type="pct"/>
                  <w:tcBorders>
                    <w:tl2br w:val="nil"/>
                    <w:tr2bl w:val="nil"/>
                  </w:tcBorders>
                  <w:vAlign w:val="center"/>
                </w:tcPr>
                <w:p w14:paraId="30363285">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浓度mg/m3</w:t>
                  </w:r>
                </w:p>
              </w:tc>
              <w:tc>
                <w:tcPr>
                  <w:tcW w:w="461" w:type="pct"/>
                  <w:tcBorders>
                    <w:tl2br w:val="nil"/>
                    <w:tr2bl w:val="nil"/>
                  </w:tcBorders>
                  <w:vAlign w:val="center"/>
                </w:tcPr>
                <w:p w14:paraId="6E998C8B">
                  <w:pPr>
                    <w:pStyle w:val="20"/>
                    <w:bidi w:val="0"/>
                    <w:rPr>
                      <w:rFonts w:hint="default" w:ascii="Times New Roman" w:hAnsi="Times New Roman" w:cs="Times New Roman"/>
                      <w:b/>
                      <w:bCs/>
                      <w:sz w:val="20"/>
                      <w:szCs w:val="21"/>
                    </w:rPr>
                  </w:pPr>
                  <w:r>
                    <w:rPr>
                      <w:rFonts w:hint="default" w:ascii="Times New Roman" w:hAnsi="Times New Roman" w:cs="Times New Roman"/>
                      <w:b/>
                      <w:bCs/>
                      <w:sz w:val="20"/>
                      <w:szCs w:val="21"/>
                    </w:rPr>
                    <w:t>速率kg/h</w:t>
                  </w:r>
                </w:p>
              </w:tc>
              <w:tc>
                <w:tcPr>
                  <w:tcW w:w="531" w:type="pct"/>
                  <w:vMerge w:val="continue"/>
                  <w:tcBorders>
                    <w:tl2br w:val="nil"/>
                    <w:tr2bl w:val="nil"/>
                  </w:tcBorders>
                  <w:vAlign w:val="center"/>
                </w:tcPr>
                <w:p w14:paraId="7FB65FFD">
                  <w:pPr>
                    <w:pStyle w:val="20"/>
                    <w:bidi w:val="0"/>
                    <w:rPr>
                      <w:rFonts w:hint="default" w:ascii="Times New Roman" w:hAnsi="Times New Roman" w:cs="Times New Roman"/>
                      <w:sz w:val="20"/>
                      <w:szCs w:val="21"/>
                    </w:rPr>
                  </w:pPr>
                </w:p>
              </w:tc>
            </w:tr>
            <w:tr w14:paraId="4DB49A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470" w:type="pct"/>
                  <w:tcBorders>
                    <w:tl2br w:val="nil"/>
                    <w:tr2bl w:val="nil"/>
                  </w:tcBorders>
                  <w:vAlign w:val="center"/>
                </w:tcPr>
                <w:p w14:paraId="37B262E6">
                  <w:pPr>
                    <w:pStyle w:val="20"/>
                    <w:bidi w:val="0"/>
                    <w:rPr>
                      <w:rFonts w:hint="default" w:ascii="Times New Roman" w:hAnsi="Times New Roman" w:cs="Times New Roman"/>
                      <w:sz w:val="20"/>
                      <w:szCs w:val="21"/>
                      <w:lang w:eastAsia="zh-CN"/>
                    </w:rPr>
                  </w:pPr>
                  <w:r>
                    <w:rPr>
                      <w:rFonts w:hint="default" w:ascii="Times New Roman" w:hAnsi="Times New Roman" w:cs="Times New Roman"/>
                      <w:sz w:val="20"/>
                      <w:szCs w:val="21"/>
                      <w:lang w:eastAsia="zh-CN"/>
                    </w:rPr>
                    <w:t>DA001</w:t>
                  </w:r>
                </w:p>
              </w:tc>
              <w:tc>
                <w:tcPr>
                  <w:tcW w:w="722" w:type="pct"/>
                  <w:tcBorders>
                    <w:tl2br w:val="nil"/>
                    <w:tr2bl w:val="nil"/>
                  </w:tcBorders>
                  <w:vAlign w:val="center"/>
                </w:tcPr>
                <w:p w14:paraId="6BADAEF3">
                  <w:pPr>
                    <w:pStyle w:val="20"/>
                    <w:bidi w:val="0"/>
                    <w:rPr>
                      <w:rFonts w:hint="default" w:ascii="Times New Roman" w:hAnsi="Times New Roman" w:cs="Times New Roman"/>
                      <w:sz w:val="20"/>
                      <w:szCs w:val="21"/>
                    </w:rPr>
                  </w:pPr>
                  <w:r>
                    <w:rPr>
                      <w:rFonts w:hint="default" w:ascii="Times New Roman" w:hAnsi="Times New Roman" w:cs="Times New Roman"/>
                      <w:sz w:val="20"/>
                      <w:szCs w:val="21"/>
                    </w:rPr>
                    <w:t>非甲烷总烃</w:t>
                  </w:r>
                </w:p>
              </w:tc>
              <w:tc>
                <w:tcPr>
                  <w:tcW w:w="460" w:type="pct"/>
                  <w:tcBorders>
                    <w:tl2br w:val="nil"/>
                    <w:tr2bl w:val="nil"/>
                  </w:tcBorders>
                  <w:vAlign w:val="center"/>
                </w:tcPr>
                <w:p w14:paraId="36AD34D2">
                  <w:pPr>
                    <w:pStyle w:val="20"/>
                    <w:bidi w:val="0"/>
                    <w:rPr>
                      <w:rFonts w:hint="default" w:ascii="Times New Roman" w:hAnsi="Times New Roman" w:cs="Times New Roman"/>
                      <w:sz w:val="20"/>
                      <w:szCs w:val="21"/>
                    </w:rPr>
                  </w:pPr>
                  <w:r>
                    <w:rPr>
                      <w:rFonts w:hint="default" w:ascii="Times New Roman" w:hAnsi="Times New Roman" w:cs="Times New Roman"/>
                      <w:sz w:val="20"/>
                      <w:szCs w:val="21"/>
                      <w:lang w:val="en-US" w:eastAsia="zh-CN"/>
                    </w:rPr>
                    <w:t>12</w:t>
                  </w:r>
                  <w:r>
                    <w:rPr>
                      <w:rFonts w:hint="default" w:ascii="Times New Roman" w:hAnsi="Times New Roman" w:cs="Times New Roman"/>
                      <w:sz w:val="20"/>
                      <w:szCs w:val="21"/>
                    </w:rPr>
                    <w:t>000</w:t>
                  </w:r>
                </w:p>
              </w:tc>
              <w:tc>
                <w:tcPr>
                  <w:tcW w:w="714" w:type="pct"/>
                  <w:vMerge w:val="restart"/>
                  <w:tcBorders>
                    <w:tl2br w:val="nil"/>
                    <w:tr2bl w:val="nil"/>
                  </w:tcBorders>
                  <w:vAlign w:val="center"/>
                </w:tcPr>
                <w:p w14:paraId="41C52943">
                  <w:pPr>
                    <w:pStyle w:val="20"/>
                    <w:bidi w:val="0"/>
                    <w:rPr>
                      <w:rFonts w:hint="default" w:ascii="Times New Roman" w:hAnsi="Times New Roman" w:cs="Times New Roman"/>
                      <w:sz w:val="20"/>
                      <w:szCs w:val="21"/>
                    </w:rPr>
                  </w:pPr>
                  <w:r>
                    <w:rPr>
                      <w:rFonts w:hint="default" w:ascii="Times New Roman" w:hAnsi="Times New Roman" w:cs="Times New Roman"/>
                      <w:sz w:val="20"/>
                      <w:szCs w:val="21"/>
                    </w:rPr>
                    <w:t>废气治理设施故障</w:t>
                  </w:r>
                </w:p>
              </w:tc>
              <w:tc>
                <w:tcPr>
                  <w:tcW w:w="623" w:type="pct"/>
                  <w:tcBorders>
                    <w:tl2br w:val="nil"/>
                    <w:tr2bl w:val="nil"/>
                  </w:tcBorders>
                  <w:vAlign w:val="center"/>
                </w:tcPr>
                <w:p w14:paraId="4A841A2A">
                  <w:pPr>
                    <w:pStyle w:val="20"/>
                    <w:bidi w:val="0"/>
                    <w:rPr>
                      <w:rFonts w:hint="default" w:ascii="Times New Roman" w:hAnsi="Times New Roman" w:cs="Times New Roman"/>
                      <w:sz w:val="20"/>
                      <w:szCs w:val="21"/>
                    </w:rPr>
                  </w:pPr>
                  <w:r>
                    <w:rPr>
                      <w:rFonts w:hint="default" w:ascii="Times New Roman" w:hAnsi="Times New Roman" w:cs="Times New Roman"/>
                      <w:sz w:val="20"/>
                      <w:szCs w:val="21"/>
                    </w:rPr>
                    <w:t>1h</w:t>
                  </w:r>
                </w:p>
              </w:tc>
              <w:tc>
                <w:tcPr>
                  <w:tcW w:w="465" w:type="pct"/>
                  <w:tcBorders>
                    <w:tl2br w:val="nil"/>
                    <w:tr2bl w:val="nil"/>
                  </w:tcBorders>
                  <w:vAlign w:val="center"/>
                </w:tcPr>
                <w:p w14:paraId="4E9D5B9D">
                  <w:pPr>
                    <w:pStyle w:val="20"/>
                    <w:bidi w:val="0"/>
                    <w:rPr>
                      <w:rFonts w:hint="default" w:ascii="Times New Roman" w:hAnsi="Times New Roman" w:cs="Times New Roman"/>
                      <w:sz w:val="20"/>
                      <w:szCs w:val="21"/>
                    </w:rPr>
                  </w:pPr>
                  <w:r>
                    <w:rPr>
                      <w:rFonts w:hint="default" w:ascii="Times New Roman" w:hAnsi="Times New Roman" w:cs="Times New Roman"/>
                      <w:sz w:val="20"/>
                      <w:szCs w:val="21"/>
                    </w:rPr>
                    <w:t>1次/年</w:t>
                  </w:r>
                </w:p>
              </w:tc>
              <w:tc>
                <w:tcPr>
                  <w:tcW w:w="907" w:type="dxa"/>
                  <w:tcBorders>
                    <w:tl2br w:val="nil"/>
                    <w:tr2bl w:val="nil"/>
                  </w:tcBorders>
                  <w:vAlign w:val="center"/>
                </w:tcPr>
                <w:p w14:paraId="6C9DD4D7">
                  <w:pPr>
                    <w:keepNext w:val="0"/>
                    <w:keepLines w:val="0"/>
                    <w:widowControl/>
                    <w:suppressLineNumbers w:val="0"/>
                    <w:jc w:val="center"/>
                    <w:textAlignment w:val="center"/>
                    <w:rPr>
                      <w:rFonts w:hint="default" w:ascii="Times New Roman" w:hAnsi="Times New Roman" w:cs="Times New Roman"/>
                      <w:sz w:val="20"/>
                      <w:szCs w:val="21"/>
                    </w:rPr>
                  </w:pPr>
                  <w:r>
                    <w:rPr>
                      <w:rFonts w:hint="eastAsia" w:cs="Times New Roman"/>
                      <w:color w:val="auto"/>
                      <w:sz w:val="24"/>
                      <w:szCs w:val="24"/>
                      <w:highlight w:val="none"/>
                      <w:lang w:val="en-US" w:eastAsia="zh-CN"/>
                    </w:rPr>
                    <w:t>***</w:t>
                  </w:r>
                </w:p>
              </w:tc>
              <w:tc>
                <w:tcPr>
                  <w:tcW w:w="758" w:type="dxa"/>
                  <w:tcBorders>
                    <w:tl2br w:val="nil"/>
                    <w:tr2bl w:val="nil"/>
                  </w:tcBorders>
                  <w:vAlign w:val="center"/>
                </w:tcPr>
                <w:p w14:paraId="3BB9E41E">
                  <w:pPr>
                    <w:keepNext w:val="0"/>
                    <w:keepLines w:val="0"/>
                    <w:widowControl/>
                    <w:suppressLineNumbers w:val="0"/>
                    <w:jc w:val="center"/>
                    <w:textAlignment w:val="center"/>
                    <w:rPr>
                      <w:rFonts w:hint="default" w:ascii="Times New Roman" w:hAnsi="Times New Roman" w:cs="Times New Roman"/>
                      <w:sz w:val="20"/>
                      <w:szCs w:val="21"/>
                      <w:lang w:val="en-US" w:eastAsia="zh-CN"/>
                    </w:rPr>
                  </w:pPr>
                  <w:r>
                    <w:rPr>
                      <w:rFonts w:hint="eastAsia" w:cs="Times New Roman"/>
                      <w:color w:val="auto"/>
                      <w:sz w:val="24"/>
                      <w:szCs w:val="24"/>
                      <w:highlight w:val="none"/>
                      <w:lang w:val="en-US" w:eastAsia="zh-CN"/>
                    </w:rPr>
                    <w:t>***</w:t>
                  </w:r>
                </w:p>
              </w:tc>
              <w:tc>
                <w:tcPr>
                  <w:tcW w:w="531" w:type="pct"/>
                  <w:vMerge w:val="restart"/>
                  <w:tcBorders>
                    <w:tl2br w:val="nil"/>
                    <w:tr2bl w:val="nil"/>
                  </w:tcBorders>
                  <w:vAlign w:val="center"/>
                </w:tcPr>
                <w:p w14:paraId="7D7FEFAF">
                  <w:pPr>
                    <w:pStyle w:val="20"/>
                    <w:bidi w:val="0"/>
                    <w:rPr>
                      <w:rFonts w:hint="default" w:ascii="Times New Roman" w:hAnsi="Times New Roman" w:cs="Times New Roman"/>
                      <w:sz w:val="20"/>
                      <w:szCs w:val="21"/>
                    </w:rPr>
                  </w:pPr>
                  <w:r>
                    <w:rPr>
                      <w:rFonts w:hint="default" w:ascii="Times New Roman" w:hAnsi="Times New Roman" w:cs="Times New Roman"/>
                      <w:sz w:val="20"/>
                      <w:szCs w:val="21"/>
                    </w:rPr>
                    <w:t>加强废气处理设施的日常维护、巡检</w:t>
                  </w:r>
                </w:p>
              </w:tc>
            </w:tr>
            <w:tr w14:paraId="470F84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0" w:type="pct"/>
                  <w:tcBorders>
                    <w:tl2br w:val="nil"/>
                    <w:tr2bl w:val="nil"/>
                  </w:tcBorders>
                  <w:vAlign w:val="center"/>
                </w:tcPr>
                <w:p w14:paraId="25F55B80">
                  <w:pPr>
                    <w:pStyle w:val="20"/>
                    <w:bidi w:val="0"/>
                    <w:rPr>
                      <w:rFonts w:hint="default" w:ascii="Times New Roman" w:hAnsi="Times New Roman" w:cs="Times New Roman"/>
                      <w:sz w:val="20"/>
                      <w:szCs w:val="21"/>
                      <w:lang w:val="en-US" w:eastAsia="zh-CN"/>
                    </w:rPr>
                  </w:pPr>
                  <w:r>
                    <w:rPr>
                      <w:rFonts w:hint="default" w:ascii="Times New Roman" w:hAnsi="Times New Roman" w:cs="Times New Roman"/>
                      <w:sz w:val="20"/>
                      <w:szCs w:val="21"/>
                      <w:lang w:val="en-US" w:eastAsia="zh-CN"/>
                    </w:rPr>
                    <w:t>DA002</w:t>
                  </w:r>
                </w:p>
              </w:tc>
              <w:tc>
                <w:tcPr>
                  <w:tcW w:w="722" w:type="pct"/>
                  <w:tcBorders>
                    <w:tl2br w:val="nil"/>
                    <w:tr2bl w:val="nil"/>
                  </w:tcBorders>
                  <w:vAlign w:val="center"/>
                </w:tcPr>
                <w:p w14:paraId="123A4B08">
                  <w:pPr>
                    <w:pStyle w:val="20"/>
                    <w:bidi w:val="0"/>
                    <w:rPr>
                      <w:rFonts w:hint="default" w:ascii="Times New Roman" w:hAnsi="Times New Roman" w:cs="Times New Roman"/>
                      <w:sz w:val="20"/>
                      <w:szCs w:val="21"/>
                    </w:rPr>
                  </w:pPr>
                  <w:r>
                    <w:rPr>
                      <w:rFonts w:hint="default" w:ascii="Times New Roman" w:hAnsi="Times New Roman" w:cs="Times New Roman"/>
                      <w:sz w:val="20"/>
                      <w:szCs w:val="21"/>
                    </w:rPr>
                    <w:t>非甲烷总烃</w:t>
                  </w:r>
                </w:p>
              </w:tc>
              <w:tc>
                <w:tcPr>
                  <w:tcW w:w="460" w:type="pct"/>
                  <w:tcBorders>
                    <w:tl2br w:val="nil"/>
                    <w:tr2bl w:val="nil"/>
                  </w:tcBorders>
                  <w:vAlign w:val="center"/>
                </w:tcPr>
                <w:p w14:paraId="4372DEB9">
                  <w:pPr>
                    <w:pStyle w:val="20"/>
                    <w:bidi w:val="0"/>
                    <w:rPr>
                      <w:rFonts w:hint="default" w:ascii="Times New Roman" w:hAnsi="Times New Roman" w:cs="Times New Roman"/>
                      <w:sz w:val="20"/>
                      <w:szCs w:val="21"/>
                      <w:lang w:val="en-US" w:eastAsia="zh-CN"/>
                    </w:rPr>
                  </w:pPr>
                  <w:r>
                    <w:rPr>
                      <w:rFonts w:hint="default" w:ascii="Times New Roman" w:hAnsi="Times New Roman" w:cs="Times New Roman"/>
                      <w:sz w:val="20"/>
                      <w:szCs w:val="21"/>
                      <w:lang w:val="en-US" w:eastAsia="zh-CN"/>
                    </w:rPr>
                    <w:t>10000</w:t>
                  </w:r>
                </w:p>
              </w:tc>
              <w:tc>
                <w:tcPr>
                  <w:tcW w:w="714" w:type="pct"/>
                  <w:vMerge w:val="continue"/>
                  <w:tcBorders>
                    <w:tl2br w:val="nil"/>
                    <w:tr2bl w:val="nil"/>
                  </w:tcBorders>
                  <w:vAlign w:val="center"/>
                </w:tcPr>
                <w:p w14:paraId="33454213">
                  <w:pPr>
                    <w:pStyle w:val="20"/>
                    <w:bidi w:val="0"/>
                    <w:rPr>
                      <w:rFonts w:hint="default" w:ascii="Times New Roman" w:hAnsi="Times New Roman" w:cs="Times New Roman"/>
                      <w:sz w:val="20"/>
                      <w:szCs w:val="21"/>
                    </w:rPr>
                  </w:pPr>
                </w:p>
              </w:tc>
              <w:tc>
                <w:tcPr>
                  <w:tcW w:w="623" w:type="pct"/>
                  <w:tcBorders>
                    <w:tl2br w:val="nil"/>
                    <w:tr2bl w:val="nil"/>
                  </w:tcBorders>
                  <w:vAlign w:val="center"/>
                </w:tcPr>
                <w:p w14:paraId="0C5ECEBD">
                  <w:pPr>
                    <w:pStyle w:val="20"/>
                    <w:bidi w:val="0"/>
                    <w:rPr>
                      <w:rFonts w:hint="default" w:ascii="Times New Roman" w:hAnsi="Times New Roman" w:cs="Times New Roman"/>
                      <w:sz w:val="20"/>
                      <w:szCs w:val="21"/>
                    </w:rPr>
                  </w:pPr>
                  <w:r>
                    <w:rPr>
                      <w:rFonts w:hint="default" w:ascii="Times New Roman" w:hAnsi="Times New Roman" w:cs="Times New Roman"/>
                      <w:sz w:val="20"/>
                      <w:szCs w:val="21"/>
                    </w:rPr>
                    <w:t>1h</w:t>
                  </w:r>
                </w:p>
              </w:tc>
              <w:tc>
                <w:tcPr>
                  <w:tcW w:w="465" w:type="pct"/>
                  <w:tcBorders>
                    <w:tl2br w:val="nil"/>
                    <w:tr2bl w:val="nil"/>
                  </w:tcBorders>
                  <w:vAlign w:val="center"/>
                </w:tcPr>
                <w:p w14:paraId="565C4EFD">
                  <w:pPr>
                    <w:pStyle w:val="20"/>
                    <w:bidi w:val="0"/>
                    <w:rPr>
                      <w:rFonts w:hint="default" w:ascii="Times New Roman" w:hAnsi="Times New Roman" w:cs="Times New Roman"/>
                      <w:sz w:val="20"/>
                      <w:szCs w:val="21"/>
                    </w:rPr>
                  </w:pPr>
                  <w:r>
                    <w:rPr>
                      <w:rFonts w:hint="default" w:ascii="Times New Roman" w:hAnsi="Times New Roman" w:cs="Times New Roman"/>
                      <w:sz w:val="20"/>
                      <w:szCs w:val="21"/>
                    </w:rPr>
                    <w:t>1次/年</w:t>
                  </w:r>
                </w:p>
              </w:tc>
              <w:tc>
                <w:tcPr>
                  <w:tcW w:w="907" w:type="dxa"/>
                  <w:tcBorders>
                    <w:tl2br w:val="nil"/>
                    <w:tr2bl w:val="nil"/>
                  </w:tcBorders>
                  <w:vAlign w:val="center"/>
                </w:tcPr>
                <w:p w14:paraId="5F37F899">
                  <w:pPr>
                    <w:keepNext w:val="0"/>
                    <w:keepLines w:val="0"/>
                    <w:widowControl/>
                    <w:suppressLineNumbers w:val="0"/>
                    <w:jc w:val="center"/>
                    <w:textAlignment w:val="center"/>
                    <w:rPr>
                      <w:rFonts w:hint="default" w:ascii="Times New Roman" w:hAnsi="Times New Roman" w:cs="Times New Roman"/>
                      <w:sz w:val="20"/>
                      <w:szCs w:val="21"/>
                      <w:lang w:val="en-US" w:eastAsia="zh-CN"/>
                    </w:rPr>
                  </w:pPr>
                  <w:r>
                    <w:rPr>
                      <w:rFonts w:hint="eastAsia" w:cs="Times New Roman"/>
                      <w:color w:val="auto"/>
                      <w:sz w:val="24"/>
                      <w:szCs w:val="24"/>
                      <w:highlight w:val="none"/>
                      <w:lang w:val="en-US" w:eastAsia="zh-CN"/>
                    </w:rPr>
                    <w:t>***</w:t>
                  </w:r>
                </w:p>
              </w:tc>
              <w:tc>
                <w:tcPr>
                  <w:tcW w:w="758" w:type="dxa"/>
                  <w:tcBorders>
                    <w:tl2br w:val="nil"/>
                    <w:tr2bl w:val="nil"/>
                  </w:tcBorders>
                  <w:vAlign w:val="center"/>
                </w:tcPr>
                <w:p w14:paraId="1E9A1FC7">
                  <w:pPr>
                    <w:keepNext w:val="0"/>
                    <w:keepLines w:val="0"/>
                    <w:widowControl/>
                    <w:suppressLineNumbers w:val="0"/>
                    <w:jc w:val="center"/>
                    <w:textAlignment w:val="center"/>
                    <w:rPr>
                      <w:rFonts w:hint="default" w:ascii="Times New Roman" w:hAnsi="Times New Roman" w:cs="Times New Roman"/>
                      <w:sz w:val="20"/>
                      <w:szCs w:val="21"/>
                      <w:lang w:val="en-US" w:eastAsia="zh-CN"/>
                    </w:rPr>
                  </w:pPr>
                  <w:r>
                    <w:rPr>
                      <w:rFonts w:hint="eastAsia" w:cs="Times New Roman"/>
                      <w:color w:val="auto"/>
                      <w:sz w:val="24"/>
                      <w:szCs w:val="24"/>
                      <w:highlight w:val="none"/>
                      <w:lang w:val="en-US" w:eastAsia="zh-CN"/>
                    </w:rPr>
                    <w:t>***</w:t>
                  </w:r>
                </w:p>
              </w:tc>
              <w:tc>
                <w:tcPr>
                  <w:tcW w:w="531" w:type="pct"/>
                  <w:vMerge w:val="continue"/>
                  <w:tcBorders>
                    <w:tl2br w:val="nil"/>
                    <w:tr2bl w:val="nil"/>
                  </w:tcBorders>
                  <w:vAlign w:val="center"/>
                </w:tcPr>
                <w:p w14:paraId="74A26D53">
                  <w:pPr>
                    <w:pStyle w:val="20"/>
                    <w:bidi w:val="0"/>
                    <w:rPr>
                      <w:rFonts w:hint="default" w:ascii="Times New Roman" w:hAnsi="Times New Roman" w:cs="Times New Roman"/>
                      <w:sz w:val="20"/>
                      <w:szCs w:val="21"/>
                    </w:rPr>
                  </w:pPr>
                </w:p>
              </w:tc>
            </w:tr>
            <w:tr w14:paraId="589396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0" w:type="pct"/>
                  <w:tcBorders>
                    <w:tl2br w:val="nil"/>
                    <w:tr2bl w:val="nil"/>
                  </w:tcBorders>
                  <w:vAlign w:val="center"/>
                </w:tcPr>
                <w:p w14:paraId="726DFB07">
                  <w:pPr>
                    <w:pStyle w:val="20"/>
                    <w:bidi w:val="0"/>
                    <w:rPr>
                      <w:rFonts w:hint="default" w:ascii="Times New Roman" w:hAnsi="Times New Roman" w:cs="Times New Roman"/>
                      <w:sz w:val="20"/>
                      <w:szCs w:val="21"/>
                      <w:lang w:val="en-US" w:eastAsia="zh-CN"/>
                    </w:rPr>
                  </w:pPr>
                  <w:r>
                    <w:rPr>
                      <w:rFonts w:hint="default" w:ascii="Times New Roman" w:hAnsi="Times New Roman" w:cs="Times New Roman"/>
                      <w:sz w:val="20"/>
                      <w:szCs w:val="21"/>
                      <w:lang w:val="en-US" w:eastAsia="zh-CN"/>
                    </w:rPr>
                    <w:t>DA003</w:t>
                  </w:r>
                </w:p>
              </w:tc>
              <w:tc>
                <w:tcPr>
                  <w:tcW w:w="722" w:type="pct"/>
                  <w:tcBorders>
                    <w:tl2br w:val="nil"/>
                    <w:tr2bl w:val="nil"/>
                  </w:tcBorders>
                  <w:vAlign w:val="center"/>
                </w:tcPr>
                <w:p w14:paraId="65D7271A">
                  <w:pPr>
                    <w:pStyle w:val="20"/>
                    <w:bidi w:val="0"/>
                    <w:rPr>
                      <w:rFonts w:hint="default" w:ascii="Times New Roman" w:hAnsi="Times New Roman" w:cs="Times New Roman"/>
                      <w:sz w:val="20"/>
                      <w:szCs w:val="21"/>
                    </w:rPr>
                  </w:pPr>
                  <w:r>
                    <w:rPr>
                      <w:rFonts w:hint="default" w:ascii="Times New Roman" w:hAnsi="Times New Roman" w:cs="Times New Roman"/>
                      <w:sz w:val="20"/>
                      <w:szCs w:val="21"/>
                    </w:rPr>
                    <w:t>非甲烷总烃</w:t>
                  </w:r>
                </w:p>
              </w:tc>
              <w:tc>
                <w:tcPr>
                  <w:tcW w:w="460" w:type="pct"/>
                  <w:tcBorders>
                    <w:tl2br w:val="nil"/>
                    <w:tr2bl w:val="nil"/>
                  </w:tcBorders>
                  <w:vAlign w:val="center"/>
                </w:tcPr>
                <w:p w14:paraId="0783BBFC">
                  <w:pPr>
                    <w:pStyle w:val="20"/>
                    <w:bidi w:val="0"/>
                    <w:rPr>
                      <w:rFonts w:hint="default" w:ascii="Times New Roman" w:hAnsi="Times New Roman" w:cs="Times New Roman"/>
                      <w:sz w:val="20"/>
                      <w:szCs w:val="21"/>
                      <w:lang w:val="en-US" w:eastAsia="zh-CN"/>
                    </w:rPr>
                  </w:pPr>
                  <w:r>
                    <w:rPr>
                      <w:rFonts w:hint="default" w:ascii="Times New Roman" w:hAnsi="Times New Roman" w:cs="Times New Roman"/>
                      <w:sz w:val="20"/>
                      <w:szCs w:val="21"/>
                      <w:lang w:val="en-US" w:eastAsia="zh-CN"/>
                    </w:rPr>
                    <w:t>5000</w:t>
                  </w:r>
                </w:p>
              </w:tc>
              <w:tc>
                <w:tcPr>
                  <w:tcW w:w="714" w:type="pct"/>
                  <w:vMerge w:val="continue"/>
                  <w:tcBorders>
                    <w:tl2br w:val="nil"/>
                    <w:tr2bl w:val="nil"/>
                  </w:tcBorders>
                  <w:vAlign w:val="center"/>
                </w:tcPr>
                <w:p w14:paraId="6E69C2A0">
                  <w:pPr>
                    <w:pStyle w:val="20"/>
                    <w:bidi w:val="0"/>
                    <w:rPr>
                      <w:rFonts w:hint="default" w:ascii="Times New Roman" w:hAnsi="Times New Roman" w:cs="Times New Roman"/>
                      <w:sz w:val="20"/>
                      <w:szCs w:val="21"/>
                    </w:rPr>
                  </w:pPr>
                </w:p>
              </w:tc>
              <w:tc>
                <w:tcPr>
                  <w:tcW w:w="1025" w:type="dxa"/>
                  <w:tcBorders>
                    <w:tl2br w:val="nil"/>
                    <w:tr2bl w:val="nil"/>
                  </w:tcBorders>
                  <w:vAlign w:val="center"/>
                </w:tcPr>
                <w:p w14:paraId="5C0C991D">
                  <w:pPr>
                    <w:pStyle w:val="20"/>
                    <w:bidi w:val="0"/>
                    <w:ind w:right="0" w:rightChars="0"/>
                    <w:rPr>
                      <w:rFonts w:hint="default" w:ascii="Times New Roman" w:hAnsi="Times New Roman" w:cs="Times New Roman"/>
                      <w:sz w:val="20"/>
                      <w:szCs w:val="21"/>
                    </w:rPr>
                  </w:pPr>
                  <w:r>
                    <w:rPr>
                      <w:rFonts w:hint="default" w:ascii="Times New Roman" w:hAnsi="Times New Roman" w:cs="Times New Roman"/>
                      <w:sz w:val="20"/>
                      <w:szCs w:val="21"/>
                    </w:rPr>
                    <w:t>1h</w:t>
                  </w:r>
                </w:p>
              </w:tc>
              <w:tc>
                <w:tcPr>
                  <w:tcW w:w="765" w:type="dxa"/>
                  <w:tcBorders>
                    <w:tl2br w:val="nil"/>
                    <w:tr2bl w:val="nil"/>
                  </w:tcBorders>
                  <w:vAlign w:val="center"/>
                </w:tcPr>
                <w:p w14:paraId="65449F79">
                  <w:pPr>
                    <w:pStyle w:val="20"/>
                    <w:bidi w:val="0"/>
                    <w:ind w:right="0" w:rightChars="0"/>
                    <w:rPr>
                      <w:rFonts w:hint="default" w:ascii="Times New Roman" w:hAnsi="Times New Roman" w:cs="Times New Roman"/>
                      <w:sz w:val="20"/>
                      <w:szCs w:val="21"/>
                    </w:rPr>
                  </w:pPr>
                  <w:r>
                    <w:rPr>
                      <w:rFonts w:hint="default" w:ascii="Times New Roman" w:hAnsi="Times New Roman" w:cs="Times New Roman"/>
                      <w:sz w:val="20"/>
                      <w:szCs w:val="21"/>
                    </w:rPr>
                    <w:t>1次/年</w:t>
                  </w:r>
                </w:p>
              </w:tc>
              <w:tc>
                <w:tcPr>
                  <w:tcW w:w="907" w:type="dxa"/>
                  <w:tcBorders>
                    <w:tl2br w:val="nil"/>
                    <w:tr2bl w:val="nil"/>
                  </w:tcBorders>
                  <w:vAlign w:val="center"/>
                </w:tcPr>
                <w:p w14:paraId="73E1D325">
                  <w:pPr>
                    <w:keepNext w:val="0"/>
                    <w:keepLines w:val="0"/>
                    <w:widowControl/>
                    <w:suppressLineNumbers w:val="0"/>
                    <w:jc w:val="center"/>
                    <w:textAlignment w:val="center"/>
                    <w:rPr>
                      <w:rFonts w:hint="default" w:ascii="Times New Roman" w:hAnsi="Times New Roman" w:cs="Times New Roman"/>
                      <w:sz w:val="20"/>
                      <w:szCs w:val="21"/>
                      <w:lang w:val="en-US" w:eastAsia="zh-CN"/>
                    </w:rPr>
                  </w:pPr>
                  <w:r>
                    <w:rPr>
                      <w:rFonts w:hint="eastAsia" w:cs="Times New Roman"/>
                      <w:color w:val="auto"/>
                      <w:sz w:val="24"/>
                      <w:szCs w:val="24"/>
                      <w:highlight w:val="none"/>
                      <w:lang w:val="en-US" w:eastAsia="zh-CN"/>
                    </w:rPr>
                    <w:t>***</w:t>
                  </w:r>
                </w:p>
              </w:tc>
              <w:tc>
                <w:tcPr>
                  <w:tcW w:w="758" w:type="dxa"/>
                  <w:tcBorders>
                    <w:tl2br w:val="nil"/>
                    <w:tr2bl w:val="nil"/>
                  </w:tcBorders>
                  <w:vAlign w:val="center"/>
                </w:tcPr>
                <w:p w14:paraId="573F4518">
                  <w:pPr>
                    <w:keepNext w:val="0"/>
                    <w:keepLines w:val="0"/>
                    <w:widowControl/>
                    <w:suppressLineNumbers w:val="0"/>
                    <w:jc w:val="center"/>
                    <w:textAlignment w:val="center"/>
                    <w:rPr>
                      <w:rFonts w:hint="default" w:ascii="Times New Roman" w:hAnsi="Times New Roman" w:cs="Times New Roman"/>
                      <w:sz w:val="20"/>
                      <w:szCs w:val="21"/>
                      <w:lang w:val="en-US" w:eastAsia="zh-CN"/>
                    </w:rPr>
                  </w:pPr>
                  <w:r>
                    <w:rPr>
                      <w:rFonts w:hint="eastAsia" w:cs="Times New Roman"/>
                      <w:color w:val="auto"/>
                      <w:sz w:val="24"/>
                      <w:szCs w:val="24"/>
                      <w:highlight w:val="none"/>
                      <w:lang w:val="en-US" w:eastAsia="zh-CN"/>
                    </w:rPr>
                    <w:t>***</w:t>
                  </w:r>
                </w:p>
              </w:tc>
              <w:tc>
                <w:tcPr>
                  <w:tcW w:w="531" w:type="pct"/>
                  <w:vMerge w:val="continue"/>
                  <w:tcBorders>
                    <w:tl2br w:val="nil"/>
                    <w:tr2bl w:val="nil"/>
                  </w:tcBorders>
                  <w:vAlign w:val="center"/>
                </w:tcPr>
                <w:p w14:paraId="1F210F2F">
                  <w:pPr>
                    <w:pStyle w:val="20"/>
                    <w:bidi w:val="0"/>
                    <w:rPr>
                      <w:rFonts w:hint="default" w:ascii="Times New Roman" w:hAnsi="Times New Roman" w:cs="Times New Roman"/>
                      <w:sz w:val="20"/>
                      <w:szCs w:val="21"/>
                    </w:rPr>
                  </w:pPr>
                </w:p>
              </w:tc>
            </w:tr>
          </w:tbl>
          <w:p w14:paraId="5D456406">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1.2废气治理设施可行性分析</w:t>
            </w:r>
          </w:p>
          <w:p w14:paraId="766FC6D1">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（1）废气收集方案分析</w:t>
            </w:r>
          </w:p>
          <w:p w14:paraId="0494E0B6">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本项目各实验</w:t>
            </w:r>
            <w:r>
              <w:rPr>
                <w:rFonts w:hint="default" w:ascii="Times New Roman" w:hAnsi="Times New Roman" w:cs="Times New Roman"/>
                <w:color w:val="auto"/>
                <w:sz w:val="24"/>
                <w:highlight w:val="none"/>
                <w:lang w:val="en-US" w:eastAsia="zh-CN"/>
              </w:rPr>
              <w:t>区</w:t>
            </w:r>
            <w:r>
              <w:rPr>
                <w:rFonts w:hint="default" w:ascii="Times New Roman" w:hAnsi="Times New Roman" w:cs="Times New Roman"/>
                <w:color w:val="auto"/>
                <w:sz w:val="24"/>
                <w:highlight w:val="none"/>
              </w:rPr>
              <w:t>产生的废气为非甲烷总烃，经过</w:t>
            </w:r>
            <w:r>
              <w:rPr>
                <w:rFonts w:hint="default" w:ascii="Times New Roman" w:hAnsi="Times New Roman" w:cs="Times New Roman"/>
                <w:color w:val="auto"/>
                <w:sz w:val="24"/>
                <w:highlight w:val="none"/>
                <w:lang w:val="en-US" w:eastAsia="zh-CN"/>
              </w:rPr>
              <w:t>密闭设备</w:t>
            </w:r>
            <w:r>
              <w:rPr>
                <w:rFonts w:hint="default" w:ascii="Times New Roman" w:hAnsi="Times New Roman" w:cs="Times New Roman"/>
                <w:color w:val="auto"/>
                <w:sz w:val="24"/>
                <w:highlight w:val="none"/>
              </w:rPr>
              <w:t>正压（收集率80%）收集通过二级活性炭</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去除</w:t>
            </w:r>
            <w:r>
              <w:rPr>
                <w:rFonts w:hint="default" w:ascii="Times New Roman" w:hAnsi="Times New Roman" w:cs="Times New Roman"/>
                <w:color w:val="auto"/>
                <w:sz w:val="24"/>
                <w:highlight w:val="none"/>
                <w:lang w:val="en-US" w:eastAsia="zh-CN"/>
              </w:rPr>
              <w:t>率75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处理后经排气筒排放</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危废暂存库产生的废气为</w:t>
            </w:r>
            <w:r>
              <w:rPr>
                <w:rFonts w:hint="default" w:ascii="Times New Roman" w:hAnsi="Times New Roman" w:cs="Times New Roman"/>
                <w:color w:val="auto"/>
                <w:sz w:val="24"/>
                <w:highlight w:val="none"/>
              </w:rPr>
              <w:t>非甲烷总烃，经过</w:t>
            </w:r>
            <w:r>
              <w:rPr>
                <w:rFonts w:hint="default" w:ascii="Times New Roman" w:hAnsi="Times New Roman" w:cs="Times New Roman"/>
                <w:color w:val="auto"/>
                <w:sz w:val="24"/>
                <w:highlight w:val="none"/>
                <w:lang w:val="en-US" w:eastAsia="zh-CN"/>
              </w:rPr>
              <w:t>密闭空间负</w:t>
            </w:r>
            <w:r>
              <w:rPr>
                <w:rFonts w:hint="default" w:ascii="Times New Roman" w:hAnsi="Times New Roman" w:cs="Times New Roman"/>
                <w:color w:val="auto"/>
                <w:sz w:val="24"/>
                <w:highlight w:val="none"/>
              </w:rPr>
              <w:t>压（收集率</w:t>
            </w:r>
            <w:r>
              <w:rPr>
                <w:rFonts w:hint="default"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0%）收集通过二级活性炭</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去除</w:t>
            </w:r>
            <w:r>
              <w:rPr>
                <w:rFonts w:hint="default" w:ascii="Times New Roman" w:hAnsi="Times New Roman" w:cs="Times New Roman"/>
                <w:color w:val="auto"/>
                <w:sz w:val="24"/>
                <w:highlight w:val="none"/>
                <w:lang w:val="en-US" w:eastAsia="zh-CN"/>
              </w:rPr>
              <w:t>率75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处理后经排气筒排放</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本项目废气收集走向示意图如下：</w:t>
            </w:r>
          </w:p>
          <w:p w14:paraId="072F2D96">
            <w:pPr>
              <w:pStyle w:val="2"/>
              <w:jc w:val="cente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略</w:t>
            </w:r>
          </w:p>
          <w:p w14:paraId="61F20B3F">
            <w:pPr>
              <w:snapToGrid w:val="0"/>
              <w:jc w:val="center"/>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图4.1  本项目废气处理工艺流程图</w:t>
            </w:r>
          </w:p>
          <w:p w14:paraId="6B7B7233">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（2）活性炭吸附装置要求</w:t>
            </w:r>
          </w:p>
          <w:p w14:paraId="6BA4186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①活性炭质量要求</w:t>
            </w:r>
          </w:p>
          <w:p w14:paraId="5D01FC2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活性炭吸附箱采用碳钢制作，外涂油漆，内部装有一定量的活性炭，并设置高温检测装置，当含有机物的废气经风机的作用，经过活性炭吸附层（整齐堆放），有机物质被活性炭特有的作用力截留在其内部，洁净气体排出；经过一段时间后，活性炭达到饱和状态时，停止吸附，此时有机物已被浓缩在活性炭内。</w:t>
            </w:r>
          </w:p>
          <w:p w14:paraId="4FFC05C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吸附箱体外壳采用t=2.5 mm Q 235钢板制成，内部连续焊接，外部采用密封胶密封，可防止焊接变形，平整美观；内部循环管道：内部循环管道采用t=1.2 mm镀锌钢板制作，折边卡口连接；主排风机选用国内优质产品：风机采用离心风机，无耐温要求，皮带轮驱动；机壳材料采用优质钢材制作，叶轮材质为16 Mn；风机的平衡等级在5.6级以上；噪声不大于85 dB（A）；风机风量、风压等参数满足设计要求，且性能稳定；风机采用变频控制，可根据现场情况，调节运行风量，节约能源；活性炭选用颗粒状活性炭。根据《江苏省生态环境厅关于深入开展涉VOCs治理重点工作核查的通知》（苏环办〔2022〕218号），主要性能指标需满足下表：</w:t>
            </w:r>
          </w:p>
          <w:p w14:paraId="34A69CAB">
            <w:pPr>
              <w:pStyle w:val="37"/>
              <w:bidi w:val="0"/>
              <w:rPr>
                <w:rFonts w:hint="default" w:ascii="Times New Roman" w:hAnsi="Times New Roman" w:cs="Times New Roman"/>
              </w:rPr>
            </w:pPr>
            <w:r>
              <w:rPr>
                <w:rFonts w:hint="default" w:ascii="Times New Roman" w:hAnsi="Times New Roman" w:cs="Times New Roman"/>
              </w:rPr>
              <w:t>表4.</w:t>
            </w:r>
            <w:r>
              <w:rPr>
                <w:rFonts w:hint="eastAsia" w:cs="Times New Roman"/>
                <w:lang w:val="en-US" w:eastAsia="zh-CN"/>
              </w:rPr>
              <w:t xml:space="preserve">8  </w:t>
            </w:r>
            <w:r>
              <w:rPr>
                <w:rFonts w:hint="default" w:ascii="Times New Roman" w:hAnsi="Times New Roman" w:cs="Times New Roman"/>
              </w:rPr>
              <w:t>二级活性炭吸附装置主要技术参数</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30"/>
              <w:gridCol w:w="3295"/>
              <w:gridCol w:w="1296"/>
              <w:gridCol w:w="1296"/>
              <w:gridCol w:w="1296"/>
            </w:tblGrid>
            <w:tr w14:paraId="70B13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6F0C3E92">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295" w:type="dxa"/>
                  <w:tcBorders>
                    <w:tl2br w:val="nil"/>
                    <w:tr2bl w:val="nil"/>
                  </w:tcBorders>
                  <w:vAlign w:val="center"/>
                </w:tcPr>
                <w:p w14:paraId="24045ED6">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参数名称</w:t>
                  </w:r>
                </w:p>
              </w:tc>
              <w:tc>
                <w:tcPr>
                  <w:tcW w:w="3888" w:type="dxa"/>
                  <w:gridSpan w:val="3"/>
                  <w:tcBorders>
                    <w:tl2br w:val="nil"/>
                    <w:tr2bl w:val="nil"/>
                  </w:tcBorders>
                  <w:vAlign w:val="center"/>
                </w:tcPr>
                <w:p w14:paraId="2A71C24A">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技术参数值</w:t>
                  </w:r>
                </w:p>
              </w:tc>
            </w:tr>
            <w:tr w14:paraId="3D5A2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785AC07E">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295" w:type="dxa"/>
                  <w:tcBorders>
                    <w:tl2br w:val="nil"/>
                    <w:tr2bl w:val="nil"/>
                  </w:tcBorders>
                  <w:vAlign w:val="center"/>
                </w:tcPr>
                <w:p w14:paraId="6870C904">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吸附装置编号</w:t>
                  </w:r>
                </w:p>
              </w:tc>
              <w:tc>
                <w:tcPr>
                  <w:tcW w:w="1296" w:type="dxa"/>
                  <w:tcBorders>
                    <w:tl2br w:val="nil"/>
                    <w:tr2bl w:val="nil"/>
                  </w:tcBorders>
                  <w:vAlign w:val="center"/>
                </w:tcPr>
                <w:p w14:paraId="3CBC2D6B">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DA001</w:t>
                  </w:r>
                </w:p>
              </w:tc>
              <w:tc>
                <w:tcPr>
                  <w:tcW w:w="1296" w:type="dxa"/>
                  <w:tcBorders>
                    <w:tl2br w:val="nil"/>
                    <w:tr2bl w:val="nil"/>
                  </w:tcBorders>
                  <w:vAlign w:val="center"/>
                </w:tcPr>
                <w:p w14:paraId="14F577F1">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DA002</w:t>
                  </w:r>
                </w:p>
              </w:tc>
              <w:tc>
                <w:tcPr>
                  <w:tcW w:w="1296" w:type="dxa"/>
                  <w:tcBorders>
                    <w:tl2br w:val="nil"/>
                    <w:tr2bl w:val="nil"/>
                  </w:tcBorders>
                  <w:vAlign w:val="center"/>
                </w:tcPr>
                <w:p w14:paraId="5B44395E">
                  <w:pPr>
                    <w:pStyle w:val="20"/>
                    <w:spacing w:before="24" w:after="24"/>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DA003</w:t>
                  </w:r>
                </w:p>
              </w:tc>
            </w:tr>
            <w:tr w14:paraId="003C9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7D36F5EE">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295" w:type="dxa"/>
                  <w:tcBorders>
                    <w:tl2br w:val="nil"/>
                    <w:tr2bl w:val="nil"/>
                  </w:tcBorders>
                  <w:vAlign w:val="center"/>
                </w:tcPr>
                <w:p w14:paraId="6624E6C6">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设计风量（m </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/h）</w:t>
                  </w:r>
                </w:p>
              </w:tc>
              <w:tc>
                <w:tcPr>
                  <w:tcW w:w="1296" w:type="dxa"/>
                  <w:tcBorders>
                    <w:tl2br w:val="nil"/>
                    <w:tr2bl w:val="nil"/>
                  </w:tcBorders>
                  <w:vAlign w:val="center"/>
                </w:tcPr>
                <w:p w14:paraId="63D06DBC">
                  <w:pPr>
                    <w:spacing w:before="24" w:after="24"/>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296" w:type="dxa"/>
                  <w:tcBorders>
                    <w:tl2br w:val="nil"/>
                    <w:tr2bl w:val="nil"/>
                  </w:tcBorders>
                  <w:vAlign w:val="center"/>
                </w:tcPr>
                <w:p w14:paraId="1E28E4EE">
                  <w:pPr>
                    <w:spacing w:before="24" w:after="24"/>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296" w:type="dxa"/>
                  <w:tcBorders>
                    <w:tl2br w:val="nil"/>
                    <w:tr2bl w:val="nil"/>
                  </w:tcBorders>
                  <w:vAlign w:val="center"/>
                </w:tcPr>
                <w:p w14:paraId="6838EBC9">
                  <w:pPr>
                    <w:spacing w:before="24" w:after="24"/>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r>
            <w:tr w14:paraId="0F2CE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13E23453">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295" w:type="dxa"/>
                  <w:tcBorders>
                    <w:tl2br w:val="nil"/>
                    <w:tr2bl w:val="nil"/>
                  </w:tcBorders>
                  <w:vAlign w:val="center"/>
                </w:tcPr>
                <w:p w14:paraId="55B2314E">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设计进气温度（℃）</w:t>
                  </w:r>
                </w:p>
              </w:tc>
              <w:tc>
                <w:tcPr>
                  <w:tcW w:w="3888" w:type="dxa"/>
                  <w:gridSpan w:val="3"/>
                  <w:tcBorders>
                    <w:tl2br w:val="nil"/>
                    <w:tr2bl w:val="nil"/>
                  </w:tcBorders>
                  <w:vAlign w:val="center"/>
                </w:tcPr>
                <w:p w14:paraId="4FB279AC">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≤40</w:t>
                  </w:r>
                </w:p>
              </w:tc>
            </w:tr>
            <w:tr w14:paraId="71A18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378AEFDB">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3295" w:type="dxa"/>
                  <w:tcBorders>
                    <w:tl2br w:val="nil"/>
                    <w:tr2bl w:val="nil"/>
                  </w:tcBorders>
                  <w:vAlign w:val="center"/>
                </w:tcPr>
                <w:p w14:paraId="7918B09E">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碘值</w:t>
                  </w:r>
                </w:p>
              </w:tc>
              <w:tc>
                <w:tcPr>
                  <w:tcW w:w="3888" w:type="dxa"/>
                  <w:gridSpan w:val="3"/>
                  <w:tcBorders>
                    <w:tl2br w:val="nil"/>
                    <w:tr2bl w:val="nil"/>
                  </w:tcBorders>
                  <w:vAlign w:val="center"/>
                </w:tcPr>
                <w:p w14:paraId="435EBB44">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柱状炭（颗粒炭）≥800 mg/g</w:t>
                  </w:r>
                </w:p>
              </w:tc>
            </w:tr>
            <w:tr w14:paraId="7921B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31EC4FC0">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3295" w:type="dxa"/>
                  <w:tcBorders>
                    <w:tl2br w:val="nil"/>
                    <w:tr2bl w:val="nil"/>
                  </w:tcBorders>
                  <w:vAlign w:val="center"/>
                </w:tcPr>
                <w:p w14:paraId="4D8A6594">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吸附率</w:t>
                  </w:r>
                </w:p>
              </w:tc>
              <w:tc>
                <w:tcPr>
                  <w:tcW w:w="3888" w:type="dxa"/>
                  <w:gridSpan w:val="3"/>
                  <w:tcBorders>
                    <w:tl2br w:val="nil"/>
                    <w:tr2bl w:val="nil"/>
                  </w:tcBorders>
                  <w:vAlign w:val="center"/>
                </w:tcPr>
                <w:p w14:paraId="08EE0DD0">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0.2 kg/kg</w:t>
                  </w:r>
                </w:p>
              </w:tc>
            </w:tr>
            <w:tr w14:paraId="66B8A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1377BB72">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3295" w:type="dxa"/>
                  <w:tcBorders>
                    <w:tl2br w:val="nil"/>
                    <w:tr2bl w:val="nil"/>
                  </w:tcBorders>
                  <w:vAlign w:val="center"/>
                </w:tcPr>
                <w:p w14:paraId="7762E929">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单个活性炭箱尺寸（两级）</w:t>
                  </w:r>
                </w:p>
              </w:tc>
              <w:tc>
                <w:tcPr>
                  <w:tcW w:w="1296" w:type="dxa"/>
                  <w:tcBorders>
                    <w:tl2br w:val="nil"/>
                    <w:tr2bl w:val="nil"/>
                  </w:tcBorders>
                  <w:vAlign w:val="center"/>
                </w:tcPr>
                <w:p w14:paraId="48B35BD1">
                  <w:pPr>
                    <w:spacing w:before="24" w:after="24"/>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6" w:type="dxa"/>
                  <w:tcBorders>
                    <w:tl2br w:val="nil"/>
                    <w:tr2bl w:val="nil"/>
                  </w:tcBorders>
                  <w:vAlign w:val="center"/>
                </w:tcPr>
                <w:p w14:paraId="53FAF04F">
                  <w:pPr>
                    <w:spacing w:before="24" w:after="24"/>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6" w:type="dxa"/>
                  <w:tcBorders>
                    <w:tl2br w:val="nil"/>
                    <w:tr2bl w:val="nil"/>
                  </w:tcBorders>
                  <w:vAlign w:val="center"/>
                </w:tcPr>
                <w:p w14:paraId="1A12926E">
                  <w:pPr>
                    <w:spacing w:before="24" w:after="24"/>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r>
            <w:tr w14:paraId="7CD2F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2B009DEC">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3295" w:type="dxa"/>
                  <w:tcBorders>
                    <w:tl2br w:val="nil"/>
                    <w:tr2bl w:val="nil"/>
                  </w:tcBorders>
                  <w:vAlign w:val="center"/>
                </w:tcPr>
                <w:p w14:paraId="289BBC4B">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活性炭更换周期</w:t>
                  </w:r>
                </w:p>
              </w:tc>
              <w:tc>
                <w:tcPr>
                  <w:tcW w:w="1296" w:type="dxa"/>
                  <w:tcBorders>
                    <w:tl2br w:val="nil"/>
                    <w:tr2bl w:val="nil"/>
                  </w:tcBorders>
                  <w:vAlign w:val="center"/>
                </w:tcPr>
                <w:p w14:paraId="7EC04038">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3个月</w:t>
                  </w:r>
                </w:p>
              </w:tc>
              <w:tc>
                <w:tcPr>
                  <w:tcW w:w="1296" w:type="dxa"/>
                  <w:tcBorders>
                    <w:tl2br w:val="nil"/>
                    <w:tr2bl w:val="nil"/>
                  </w:tcBorders>
                  <w:vAlign w:val="center"/>
                </w:tcPr>
                <w:p w14:paraId="07DA77E3">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3个月</w:t>
                  </w:r>
                </w:p>
              </w:tc>
              <w:tc>
                <w:tcPr>
                  <w:tcW w:w="1296" w:type="dxa"/>
                  <w:tcBorders>
                    <w:tl2br w:val="nil"/>
                    <w:tr2bl w:val="nil"/>
                  </w:tcBorders>
                  <w:vAlign w:val="center"/>
                </w:tcPr>
                <w:p w14:paraId="7F497907">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3个月</w:t>
                  </w:r>
                </w:p>
              </w:tc>
            </w:tr>
            <w:tr w14:paraId="6827D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13EFEAC2">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3295" w:type="dxa"/>
                  <w:tcBorders>
                    <w:tl2br w:val="nil"/>
                    <w:tr2bl w:val="nil"/>
                  </w:tcBorders>
                  <w:vAlign w:val="center"/>
                </w:tcPr>
                <w:p w14:paraId="141DF3F4">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活性炭装填量</w:t>
                  </w:r>
                </w:p>
              </w:tc>
              <w:tc>
                <w:tcPr>
                  <w:tcW w:w="1296" w:type="dxa"/>
                  <w:tcBorders>
                    <w:tl2br w:val="nil"/>
                    <w:tr2bl w:val="nil"/>
                  </w:tcBorders>
                  <w:vAlign w:val="center"/>
                </w:tcPr>
                <w:p w14:paraId="6167E72F">
                  <w:pPr>
                    <w:spacing w:before="24" w:after="24"/>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96" w:type="dxa"/>
                  <w:tcBorders>
                    <w:tl2br w:val="nil"/>
                    <w:tr2bl w:val="nil"/>
                  </w:tcBorders>
                  <w:vAlign w:val="center"/>
                </w:tcPr>
                <w:p w14:paraId="5F179787">
                  <w:pPr>
                    <w:spacing w:before="24" w:after="24"/>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296" w:type="dxa"/>
                  <w:tcBorders>
                    <w:tl2br w:val="nil"/>
                    <w:tr2bl w:val="nil"/>
                  </w:tcBorders>
                  <w:vAlign w:val="center"/>
                </w:tcPr>
                <w:p w14:paraId="35AB2B45">
                  <w:pPr>
                    <w:spacing w:before="24" w:after="24"/>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r>
            <w:tr w14:paraId="4E79D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30" w:type="dxa"/>
                  <w:tcBorders>
                    <w:tl2br w:val="nil"/>
                    <w:tr2bl w:val="nil"/>
                  </w:tcBorders>
                  <w:vAlign w:val="center"/>
                </w:tcPr>
                <w:p w14:paraId="6A23D7D3">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3295" w:type="dxa"/>
                  <w:tcBorders>
                    <w:tl2br w:val="nil"/>
                    <w:tr2bl w:val="nil"/>
                  </w:tcBorders>
                  <w:vAlign w:val="center"/>
                </w:tcPr>
                <w:p w14:paraId="35347F46">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净化效率</w:t>
                  </w:r>
                </w:p>
              </w:tc>
              <w:tc>
                <w:tcPr>
                  <w:tcW w:w="1296" w:type="dxa"/>
                  <w:tcBorders>
                    <w:tl2br w:val="nil"/>
                    <w:tr2bl w:val="nil"/>
                  </w:tcBorders>
                  <w:vAlign w:val="center"/>
                </w:tcPr>
                <w:p w14:paraId="75B54BF7">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≥75%</w:t>
                  </w:r>
                </w:p>
              </w:tc>
              <w:tc>
                <w:tcPr>
                  <w:tcW w:w="1296" w:type="dxa"/>
                  <w:tcBorders>
                    <w:tl2br w:val="nil"/>
                    <w:tr2bl w:val="nil"/>
                  </w:tcBorders>
                  <w:vAlign w:val="center"/>
                </w:tcPr>
                <w:p w14:paraId="722734C2">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≥75%</w:t>
                  </w:r>
                </w:p>
              </w:tc>
              <w:tc>
                <w:tcPr>
                  <w:tcW w:w="1296" w:type="dxa"/>
                  <w:tcBorders>
                    <w:tl2br w:val="nil"/>
                    <w:tr2bl w:val="nil"/>
                  </w:tcBorders>
                  <w:vAlign w:val="center"/>
                </w:tcPr>
                <w:p w14:paraId="5ECA1AE1">
                  <w:pPr>
                    <w:pStyle w:val="20"/>
                    <w:spacing w:before="24" w:after="24"/>
                    <w:rPr>
                      <w:rFonts w:hint="default" w:ascii="Times New Roman" w:hAnsi="Times New Roman" w:cs="Times New Roman"/>
                      <w:color w:val="auto"/>
                      <w:highlight w:val="none"/>
                    </w:rPr>
                  </w:pPr>
                  <w:r>
                    <w:rPr>
                      <w:rFonts w:hint="default" w:ascii="Times New Roman" w:hAnsi="Times New Roman" w:cs="Times New Roman"/>
                      <w:color w:val="auto"/>
                      <w:highlight w:val="none"/>
                    </w:rPr>
                    <w:t>≥75%</w:t>
                  </w:r>
                </w:p>
              </w:tc>
            </w:tr>
          </w:tbl>
          <w:p w14:paraId="05B8DFCE">
            <w:pPr>
              <w:pStyle w:val="4"/>
              <w:spacing w:before="0" w:after="0" w:line="360" w:lineRule="auto"/>
              <w:ind w:right="0"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2"/>
                <w:sz w:val="24"/>
                <w:szCs w:val="24"/>
                <w:highlight w:val="none"/>
              </w:rPr>
              <w:t>根据</w:t>
            </w:r>
            <w:r>
              <w:rPr>
                <w:rFonts w:hint="default" w:ascii="Times New Roman" w:hAnsi="Times New Roman" w:cs="Times New Roman"/>
                <w:color w:val="auto"/>
                <w:sz w:val="24"/>
                <w:szCs w:val="24"/>
                <w:highlight w:val="none"/>
              </w:rPr>
              <w:t>《省生态环境厅关于深入开展涉VOCs治理重点工作入户核查的通知》（苏环办〔2022〕218号）</w:t>
            </w:r>
            <w:r>
              <w:rPr>
                <w:rFonts w:hint="default" w:ascii="Times New Roman" w:hAnsi="Times New Roman" w:cs="Times New Roman"/>
                <w:color w:val="auto"/>
                <w:kern w:val="2"/>
                <w:sz w:val="24"/>
                <w:szCs w:val="24"/>
                <w:highlight w:val="none"/>
              </w:rPr>
              <w:t>，活性炭吸附装置的技术要求有：采用颗粒活性炭时，气体流速宜低于0.60m/s，装填厚度不得低于0.4m，进入吸附设备的废气颗粒物含量和温度应分别低于1 mg/m</w:t>
            </w:r>
            <w:r>
              <w:rPr>
                <w:rFonts w:hint="default" w:ascii="Times New Roman" w:hAnsi="Times New Roman" w:cs="Times New Roman"/>
                <w:color w:val="auto"/>
                <w:kern w:val="2"/>
                <w:sz w:val="24"/>
                <w:szCs w:val="24"/>
                <w:highlight w:val="none"/>
                <w:vertAlign w:val="superscript"/>
              </w:rPr>
              <w:t>3</w:t>
            </w:r>
            <w:r>
              <w:rPr>
                <w:rFonts w:hint="default" w:ascii="Times New Roman" w:hAnsi="Times New Roman" w:cs="Times New Roman"/>
                <w:color w:val="auto"/>
                <w:kern w:val="2"/>
                <w:sz w:val="24"/>
                <w:szCs w:val="24"/>
                <w:highlight w:val="none"/>
              </w:rPr>
              <w:t>和40℃。</w:t>
            </w:r>
          </w:p>
          <w:p w14:paraId="0C38C650">
            <w:pPr>
              <w:pStyle w:val="4"/>
              <w:spacing w:before="0" w:after="0" w:line="360" w:lineRule="auto"/>
              <w:ind w:right="0" w:firstLine="480" w:firstLineChars="200"/>
              <w:jc w:val="left"/>
              <w:rPr>
                <w:rFonts w:hint="default" w:ascii="Times New Roman" w:hAnsi="Times New Roman" w:eastAsia="宋体"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rPr>
              <w:t>由上表可知，</w:t>
            </w:r>
            <w:r>
              <w:rPr>
                <w:rFonts w:hint="default" w:ascii="Times New Roman" w:hAnsi="Times New Roman" w:cs="Times New Roman"/>
                <w:color w:val="auto"/>
                <w:sz w:val="24"/>
                <w:szCs w:val="24"/>
                <w:highlight w:val="none"/>
                <w:lang w:bidi="ar"/>
              </w:rPr>
              <w:t>本项目采用</w:t>
            </w:r>
            <w:r>
              <w:rPr>
                <w:rFonts w:hint="default" w:ascii="Times New Roman" w:hAnsi="Times New Roman" w:cs="Times New Roman"/>
                <w:color w:val="auto"/>
                <w:sz w:val="24"/>
                <w:szCs w:val="24"/>
                <w:highlight w:val="none"/>
              </w:rPr>
              <w:t>柱状炭（颗粒炭）</w:t>
            </w:r>
            <w:r>
              <w:rPr>
                <w:rFonts w:hint="default" w:ascii="Times New Roman" w:hAnsi="Times New Roman" w:cs="Times New Roman"/>
                <w:color w:val="auto"/>
                <w:sz w:val="24"/>
                <w:szCs w:val="24"/>
                <w:highlight w:val="none"/>
                <w:lang w:bidi="ar"/>
              </w:rPr>
              <w:t>，活性炭过滤流速为0.5</w:t>
            </w:r>
            <w:r>
              <w:rPr>
                <w:rFonts w:hint="default" w:ascii="Times New Roman" w:hAnsi="Times New Roman" w:cs="Times New Roman"/>
                <w:color w:val="auto"/>
                <w:sz w:val="24"/>
                <w:szCs w:val="24"/>
                <w:highlight w:val="none"/>
                <w:lang w:val="en-US" w:eastAsia="zh-CN" w:bidi="ar"/>
              </w:rPr>
              <w:t>6</w:t>
            </w:r>
            <w:r>
              <w:rPr>
                <w:rFonts w:hint="default" w:ascii="Times New Roman" w:hAnsi="Times New Roman" w:cs="Times New Roman"/>
                <w:color w:val="auto"/>
                <w:sz w:val="24"/>
                <w:szCs w:val="24"/>
                <w:highlight w:val="none"/>
                <w:lang w:bidi="ar"/>
              </w:rPr>
              <w:t>m/s，0.5</w:t>
            </w:r>
            <w:r>
              <w:rPr>
                <w:rFonts w:hint="default" w:ascii="Times New Roman" w:hAnsi="Times New Roman" w:cs="Times New Roman"/>
                <w:color w:val="auto"/>
                <w:sz w:val="24"/>
                <w:szCs w:val="24"/>
                <w:highlight w:val="none"/>
                <w:lang w:val="en-US" w:eastAsia="zh-CN" w:bidi="ar"/>
              </w:rPr>
              <w:t>6</w:t>
            </w:r>
            <w:r>
              <w:rPr>
                <w:rFonts w:hint="default" w:ascii="Times New Roman" w:hAnsi="Times New Roman" w:cs="Times New Roman"/>
                <w:color w:val="auto"/>
                <w:sz w:val="24"/>
                <w:szCs w:val="24"/>
                <w:highlight w:val="none"/>
                <w:lang w:bidi="ar"/>
              </w:rPr>
              <w:t>m/s，0.</w:t>
            </w:r>
            <w:r>
              <w:rPr>
                <w:rFonts w:hint="default" w:ascii="Times New Roman" w:hAnsi="Times New Roman" w:cs="Times New Roman"/>
                <w:color w:val="auto"/>
                <w:sz w:val="24"/>
                <w:szCs w:val="24"/>
                <w:highlight w:val="none"/>
                <w:lang w:val="en-US" w:eastAsia="zh-CN" w:bidi="ar"/>
              </w:rPr>
              <w:t>46</w:t>
            </w:r>
            <w:r>
              <w:rPr>
                <w:rFonts w:hint="default" w:ascii="Times New Roman" w:hAnsi="Times New Roman" w:cs="Times New Roman"/>
                <w:color w:val="auto"/>
                <w:sz w:val="24"/>
                <w:szCs w:val="24"/>
                <w:highlight w:val="none"/>
                <w:lang w:bidi="ar"/>
              </w:rPr>
              <w:t>m/s，符合“采用颗粒活性炭时，气体流速宜低于0.60m/s”的要求。本项目对</w:t>
            </w:r>
            <w:r>
              <w:rPr>
                <w:rFonts w:hint="default" w:ascii="Times New Roman" w:hAnsi="Times New Roman" w:cs="Times New Roman"/>
                <w:color w:val="auto"/>
                <w:sz w:val="24"/>
                <w:szCs w:val="24"/>
                <w:highlight w:val="none"/>
                <w:lang w:val="en-US" w:eastAsia="zh-CN" w:bidi="ar"/>
              </w:rPr>
              <w:t>各</w:t>
            </w:r>
            <w:r>
              <w:rPr>
                <w:rFonts w:hint="default" w:ascii="Times New Roman" w:hAnsi="Times New Roman" w:cs="Times New Roman"/>
                <w:color w:val="auto"/>
                <w:sz w:val="24"/>
                <w:szCs w:val="24"/>
                <w:highlight w:val="none"/>
              </w:rPr>
              <w:t>实验</w:t>
            </w:r>
            <w:r>
              <w:rPr>
                <w:rFonts w:hint="default" w:ascii="Times New Roman" w:hAnsi="Times New Roman" w:cs="Times New Roman"/>
                <w:color w:val="auto"/>
                <w:sz w:val="24"/>
                <w:szCs w:val="24"/>
                <w:highlight w:val="none"/>
                <w:lang w:val="en-US" w:eastAsia="zh-CN"/>
              </w:rPr>
              <w:t>区的</w:t>
            </w:r>
            <w:r>
              <w:rPr>
                <w:rFonts w:hint="default" w:ascii="Times New Roman" w:hAnsi="Times New Roman" w:cs="Times New Roman"/>
                <w:color w:val="auto"/>
                <w:sz w:val="24"/>
                <w:szCs w:val="24"/>
                <w:highlight w:val="none"/>
              </w:rPr>
              <w:t>废气</w:t>
            </w:r>
            <w:r>
              <w:rPr>
                <w:rFonts w:hint="default" w:ascii="Times New Roman" w:hAnsi="Times New Roman" w:cs="Times New Roman"/>
                <w:color w:val="auto"/>
                <w:sz w:val="24"/>
                <w:szCs w:val="24"/>
                <w:highlight w:val="none"/>
                <w:lang w:bidi="ar"/>
              </w:rPr>
              <w:t>采用</w:t>
            </w:r>
            <w:r>
              <w:rPr>
                <w:rFonts w:hint="default" w:ascii="Times New Roman" w:hAnsi="Times New Roman" w:cs="Times New Roman"/>
                <w:color w:val="auto"/>
                <w:sz w:val="24"/>
                <w:szCs w:val="24"/>
                <w:highlight w:val="none"/>
                <w:lang w:val="en-US" w:eastAsia="zh-CN" w:bidi="ar"/>
              </w:rPr>
              <w:t>设备</w:t>
            </w:r>
            <w:r>
              <w:rPr>
                <w:rFonts w:hint="default" w:ascii="Times New Roman" w:hAnsi="Times New Roman" w:cs="Times New Roman"/>
                <w:color w:val="auto"/>
                <w:sz w:val="24"/>
                <w:szCs w:val="24"/>
                <w:highlight w:val="none"/>
                <w:lang w:bidi="ar"/>
              </w:rPr>
              <w:t>密闭正压收集，收集效率达80%，使用二级活性炭吸附装置进行处理，处理率可达</w:t>
            </w:r>
            <w:r>
              <w:rPr>
                <w:rFonts w:hint="default" w:ascii="Times New Roman" w:hAnsi="Times New Roman" w:cs="Times New Roman"/>
                <w:color w:val="auto"/>
                <w:sz w:val="24"/>
                <w:szCs w:val="24"/>
                <w:highlight w:val="none"/>
                <w:lang w:val="en-US" w:eastAsia="zh-CN" w:bidi="ar"/>
              </w:rPr>
              <w:t>75</w:t>
            </w:r>
            <w:r>
              <w:rPr>
                <w:rFonts w:hint="default" w:ascii="Times New Roman" w:hAnsi="Times New Roman" w:cs="Times New Roman"/>
                <w:color w:val="auto"/>
                <w:sz w:val="24"/>
                <w:szCs w:val="24"/>
                <w:highlight w:val="none"/>
                <w:lang w:bidi="ar"/>
              </w:rPr>
              <w:t>%。</w:t>
            </w:r>
            <w:r>
              <w:rPr>
                <w:rFonts w:hint="default" w:ascii="Times New Roman" w:hAnsi="Times New Roman" w:cs="Times New Roman"/>
                <w:color w:val="auto"/>
                <w:sz w:val="24"/>
                <w:szCs w:val="24"/>
                <w:highlight w:val="none"/>
                <w:lang w:val="en-US" w:eastAsia="zh-CN" w:bidi="ar"/>
              </w:rPr>
              <w:t>对危废暂存库的废气采用密闭负压收集，</w:t>
            </w:r>
            <w:r>
              <w:rPr>
                <w:rFonts w:hint="default" w:ascii="Times New Roman" w:hAnsi="Times New Roman" w:cs="Times New Roman"/>
                <w:color w:val="auto"/>
                <w:sz w:val="24"/>
                <w:szCs w:val="24"/>
                <w:highlight w:val="none"/>
                <w:lang w:bidi="ar"/>
              </w:rPr>
              <w:t>收集效率达</w:t>
            </w:r>
            <w:r>
              <w:rPr>
                <w:rFonts w:hint="default" w:ascii="Times New Roman" w:hAnsi="Times New Roman" w:cs="Times New Roman"/>
                <w:color w:val="auto"/>
                <w:sz w:val="24"/>
                <w:szCs w:val="24"/>
                <w:highlight w:val="none"/>
                <w:lang w:val="en-US" w:eastAsia="zh-CN" w:bidi="ar"/>
              </w:rPr>
              <w:t>9</w:t>
            </w:r>
            <w:r>
              <w:rPr>
                <w:rFonts w:hint="default" w:ascii="Times New Roman" w:hAnsi="Times New Roman" w:cs="Times New Roman"/>
                <w:color w:val="auto"/>
                <w:sz w:val="24"/>
                <w:szCs w:val="24"/>
                <w:highlight w:val="none"/>
                <w:lang w:bidi="ar"/>
              </w:rPr>
              <w:t>0%，使用二级活性炭吸附装置进行处理，处理率可达</w:t>
            </w:r>
            <w:r>
              <w:rPr>
                <w:rFonts w:hint="default" w:ascii="Times New Roman" w:hAnsi="Times New Roman" w:cs="Times New Roman"/>
                <w:color w:val="auto"/>
                <w:sz w:val="24"/>
                <w:szCs w:val="24"/>
                <w:highlight w:val="none"/>
                <w:lang w:val="en-US" w:eastAsia="zh-CN" w:bidi="ar"/>
              </w:rPr>
              <w:t>75</w:t>
            </w:r>
            <w:r>
              <w:rPr>
                <w:rFonts w:hint="default" w:ascii="Times New Roman" w:hAnsi="Times New Roman" w:cs="Times New Roman"/>
                <w:color w:val="auto"/>
                <w:sz w:val="24"/>
                <w:szCs w:val="24"/>
                <w:highlight w:val="none"/>
                <w:lang w:bidi="ar"/>
              </w:rPr>
              <w:t>%。</w:t>
            </w:r>
          </w:p>
          <w:p w14:paraId="1CE348C7">
            <w:pPr>
              <w:pStyle w:val="4"/>
              <w:spacing w:before="0" w:after="0" w:line="360" w:lineRule="auto"/>
              <w:ind w:right="0" w:firstLine="480" w:firstLineChars="200"/>
              <w:jc w:val="left"/>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因此，本项目有机废气处理工艺满足《吸附法工业有机废气治理工程技术规范》(HJ 2026-2013)要求。</w:t>
            </w:r>
          </w:p>
          <w:p w14:paraId="778BA124">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②活性炭填充量核算</w:t>
            </w:r>
          </w:p>
          <w:p w14:paraId="399F92A1">
            <w:pPr>
              <w:kinsoku w:val="0"/>
              <w:overflowPunct w:val="0"/>
              <w:autoSpaceDE w:val="0"/>
              <w:autoSpaceDN w:val="0"/>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有机废气采用活性炭吸附处理，在此过程中会产生废活性炭，根据《省生态环境厅关于深入开展涉VOCs治理重点工作入户核查的通知》（苏环办〔2022〕218号）：“采用颗粒活性炭时，气体流速宜低于0.60m/s，装填厚度不得低于0.4m，进入吸附设备的废气颗粒物含量和温度应分别低于1mg/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和40℃。采用一次性颗粒状活性炭处理VOCs废气，年活性炭使用量不应低于VOCs产生量的5倍，即1吨VOCs产生量，需5吨活性炭用于吸附，活性炭更换周期一般不应超过累计运行500小时或3个月。”</w:t>
            </w:r>
          </w:p>
          <w:p w14:paraId="032F1A8A">
            <w:pPr>
              <w:tabs>
                <w:tab w:val="center" w:pos="4758"/>
              </w:tabs>
              <w:adjustRightInd w:val="0"/>
              <w:snapToGrid w:val="0"/>
              <w:spacing w:line="360" w:lineRule="auto"/>
              <w:ind w:firstLine="480" w:firstLineChars="200"/>
              <w:jc w:val="center"/>
              <w:textAlignment w:val="baseline"/>
              <w:rPr>
                <w:rFonts w:hint="eastAsia" w:cs="Times New Roman"/>
                <w:color w:val="auto"/>
                <w:sz w:val="24"/>
                <w:highlight w:val="none"/>
                <w:lang w:val="en-US" w:eastAsia="zh-CN"/>
              </w:rPr>
            </w:pPr>
            <w:r>
              <w:rPr>
                <w:rFonts w:hint="eastAsia" w:cs="Times New Roman"/>
                <w:color w:val="auto"/>
                <w:sz w:val="24"/>
                <w:highlight w:val="none"/>
                <w:lang w:val="en-US" w:eastAsia="zh-CN"/>
              </w:rPr>
              <w:t>略</w:t>
            </w:r>
          </w:p>
          <w:p w14:paraId="5C96FE9B">
            <w:pPr>
              <w:tabs>
                <w:tab w:val="center" w:pos="4758"/>
              </w:tabs>
              <w:adjustRightInd w:val="0"/>
              <w:snapToGrid w:val="0"/>
              <w:spacing w:line="360" w:lineRule="auto"/>
              <w:ind w:firstLine="480" w:firstLineChars="200"/>
              <w:jc w:val="left"/>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（3）排气筒设置合理性分析</w:t>
            </w:r>
          </w:p>
          <w:p w14:paraId="623F8DAC">
            <w:pPr>
              <w:tabs>
                <w:tab w:val="center" w:pos="4758"/>
              </w:tabs>
              <w:adjustRightInd w:val="0"/>
              <w:snapToGrid w:val="0"/>
              <w:spacing w:line="360" w:lineRule="auto"/>
              <w:ind w:firstLine="480" w:firstLineChars="200"/>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①高度可行性分析</w:t>
            </w:r>
          </w:p>
          <w:p w14:paraId="685FDED2">
            <w:pPr>
              <w:tabs>
                <w:tab w:val="center" w:pos="4758"/>
              </w:tabs>
              <w:adjustRightInd w:val="0"/>
              <w:snapToGrid w:val="0"/>
              <w:spacing w:line="360" w:lineRule="auto"/>
              <w:ind w:firstLine="480" w:firstLineChars="200"/>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根据《江苏省大气污染物综合排放标准》（DB32/4041—2021）中规定：有组织排放源的高度不低于15米</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通过现场勘查</w:t>
            </w:r>
            <w:r>
              <w:rPr>
                <w:rFonts w:hint="default" w:ascii="Times New Roman" w:hAnsi="Times New Roman" w:cs="Times New Roman"/>
                <w:bCs/>
                <w:color w:val="auto"/>
                <w:sz w:val="24"/>
                <w:highlight w:val="none"/>
                <w:lang w:val="en-US" w:eastAsia="zh-CN"/>
              </w:rPr>
              <w:t>厂房的高度</w:t>
            </w:r>
            <w:r>
              <w:rPr>
                <w:rFonts w:hint="default" w:ascii="Times New Roman" w:hAnsi="Times New Roman" w:cs="Times New Roman"/>
                <w:bCs/>
                <w:color w:val="auto"/>
                <w:sz w:val="24"/>
                <w:highlight w:val="none"/>
              </w:rPr>
              <w:t>及提供的设计图纸，本项目</w:t>
            </w:r>
            <w:r>
              <w:rPr>
                <w:rFonts w:hint="default" w:ascii="Times New Roman" w:hAnsi="Times New Roman" w:cs="Times New Roman"/>
                <w:bCs/>
                <w:color w:val="auto"/>
                <w:sz w:val="24"/>
                <w:highlight w:val="none"/>
                <w:lang w:val="en-US" w:eastAsia="zh-CN"/>
              </w:rPr>
              <w:t>实验区的DA001、DA002</w:t>
            </w:r>
            <w:r>
              <w:rPr>
                <w:rFonts w:hint="default" w:ascii="Times New Roman" w:hAnsi="Times New Roman" w:cs="Times New Roman"/>
                <w:bCs/>
                <w:color w:val="auto"/>
                <w:sz w:val="24"/>
                <w:highlight w:val="none"/>
              </w:rPr>
              <w:t>排气筒高度设为25米，</w:t>
            </w:r>
            <w:r>
              <w:rPr>
                <w:rFonts w:hint="default" w:ascii="Times New Roman" w:hAnsi="Times New Roman" w:cs="Times New Roman"/>
                <w:bCs/>
                <w:color w:val="auto"/>
                <w:sz w:val="24"/>
                <w:highlight w:val="none"/>
                <w:lang w:val="en-US" w:eastAsia="zh-CN"/>
              </w:rPr>
              <w:t>两个</w:t>
            </w:r>
            <w:r>
              <w:rPr>
                <w:rFonts w:hint="default" w:ascii="Times New Roman" w:hAnsi="Times New Roman" w:cs="Times New Roman"/>
                <w:bCs/>
                <w:color w:val="auto"/>
                <w:sz w:val="24"/>
                <w:highlight w:val="none"/>
              </w:rPr>
              <w:t>排气筒排口均高于</w:t>
            </w:r>
            <w:r>
              <w:rPr>
                <w:rFonts w:hint="default" w:ascii="Times New Roman" w:hAnsi="Times New Roman" w:cs="Times New Roman"/>
                <w:bCs/>
                <w:color w:val="auto"/>
                <w:sz w:val="24"/>
                <w:highlight w:val="none"/>
                <w:lang w:val="en-US" w:eastAsia="zh-CN"/>
              </w:rPr>
              <w:t>生产厂房二</w:t>
            </w:r>
            <w:r>
              <w:rPr>
                <w:rFonts w:hint="default" w:ascii="Times New Roman" w:hAnsi="Times New Roman" w:cs="Times New Roman"/>
                <w:bCs/>
                <w:color w:val="auto"/>
                <w:sz w:val="24"/>
                <w:highlight w:val="none"/>
              </w:rPr>
              <w:t>约7米</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危废暂存库的DA003排气筒设为15米</w:t>
            </w:r>
            <w:r>
              <w:rPr>
                <w:rFonts w:hint="default" w:ascii="Times New Roman" w:hAnsi="Times New Roman" w:cs="Times New Roman"/>
                <w:bCs/>
                <w:color w:val="auto"/>
                <w:sz w:val="24"/>
                <w:highlight w:val="none"/>
              </w:rPr>
              <w:t>。因此，本项目排气筒高度设置是合理可行的。</w:t>
            </w:r>
          </w:p>
          <w:p w14:paraId="3BBE6728">
            <w:pPr>
              <w:tabs>
                <w:tab w:val="center" w:pos="4758"/>
              </w:tabs>
              <w:adjustRightInd w:val="0"/>
              <w:snapToGrid w:val="0"/>
              <w:spacing w:line="360" w:lineRule="auto"/>
              <w:ind w:firstLine="480" w:firstLineChars="200"/>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②位置合理性分析</w:t>
            </w:r>
          </w:p>
          <w:p w14:paraId="1E3A7392">
            <w:pPr>
              <w:tabs>
                <w:tab w:val="center" w:pos="4758"/>
              </w:tabs>
              <w:adjustRightInd w:val="0"/>
              <w:snapToGrid w:val="0"/>
              <w:spacing w:line="360" w:lineRule="auto"/>
              <w:ind w:firstLine="480" w:firstLineChars="200"/>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本项目排气筒位置设置时综合考虑了排风管路路径、排气筒检修等影响因素，同时，项目所在地地势平坦，便于废气扩散，对周边环境影响较小。因此，本项目排气筒设置的位置是合理可行的。</w:t>
            </w:r>
          </w:p>
          <w:p w14:paraId="233A8F2C">
            <w:pPr>
              <w:tabs>
                <w:tab w:val="center" w:pos="4758"/>
              </w:tabs>
              <w:adjustRightInd w:val="0"/>
              <w:snapToGrid w:val="0"/>
              <w:spacing w:line="360" w:lineRule="auto"/>
              <w:ind w:firstLine="480" w:firstLineChars="200"/>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③数量可行性分析</w:t>
            </w:r>
          </w:p>
          <w:p w14:paraId="4BFEE1A5">
            <w:pPr>
              <w:tabs>
                <w:tab w:val="center" w:pos="4758"/>
              </w:tabs>
              <w:adjustRightInd w:val="0"/>
              <w:snapToGrid w:val="0"/>
              <w:spacing w:line="360" w:lineRule="auto"/>
              <w:ind w:firstLine="480" w:firstLineChars="200"/>
              <w:jc w:val="left"/>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本项目排气筒的设置数量严格按照生产需求分布来布置，排气布置时综合考虑了废气合并处理的适宜性、风量大小、排气筒检修对生产装置带来的影响大小等因素，本项目共设置3根排气筒。</w:t>
            </w:r>
          </w:p>
          <w:p w14:paraId="0FB65369">
            <w:pPr>
              <w:tabs>
                <w:tab w:val="center" w:pos="4758"/>
              </w:tabs>
              <w:adjustRightInd w:val="0"/>
              <w:snapToGrid w:val="0"/>
              <w:spacing w:line="360" w:lineRule="auto"/>
              <w:ind w:firstLine="480" w:firstLineChars="200"/>
              <w:jc w:val="left"/>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④温度合理性分析</w:t>
            </w:r>
          </w:p>
          <w:p w14:paraId="198D4D24">
            <w:pPr>
              <w:tabs>
                <w:tab w:val="center" w:pos="4758"/>
              </w:tabs>
              <w:adjustRightInd w:val="0"/>
              <w:snapToGrid w:val="0"/>
              <w:spacing w:line="360" w:lineRule="auto"/>
              <w:ind w:firstLine="480" w:firstLineChars="200"/>
              <w:jc w:val="left"/>
              <w:textAlignment w:val="baseline"/>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本项目在三</w:t>
            </w:r>
            <w:r>
              <w:rPr>
                <w:rFonts w:hint="default" w:ascii="Times New Roman" w:hAnsi="Times New Roman" w:cs="Times New Roman"/>
                <w:bCs/>
                <w:color w:val="auto"/>
                <w:sz w:val="24"/>
                <w:highlight w:val="none"/>
                <w:lang w:val="en-US" w:eastAsia="zh-CN"/>
              </w:rPr>
              <w:t>个实验区</w:t>
            </w:r>
            <w:r>
              <w:rPr>
                <w:rFonts w:hint="default" w:ascii="Times New Roman" w:hAnsi="Times New Roman" w:cs="Times New Roman"/>
                <w:bCs/>
                <w:color w:val="auto"/>
                <w:sz w:val="24"/>
                <w:highlight w:val="none"/>
              </w:rPr>
              <w:t>中，涂布液调配和涂布过程中产生的废气是在常温的无尘密闭空间下进行，在退火结晶产生的废气是在VCD下进行，工作时内部温度达100-180℃左右，退火结晶后有自动降温，内部冷却到常温后，经密闭</w:t>
            </w:r>
            <w:r>
              <w:rPr>
                <w:rFonts w:hint="default" w:ascii="Times New Roman" w:hAnsi="Times New Roman" w:cs="Times New Roman"/>
                <w:bCs/>
                <w:color w:val="auto"/>
                <w:sz w:val="24"/>
                <w:highlight w:val="none"/>
                <w:lang w:val="en-US" w:eastAsia="zh-CN"/>
              </w:rPr>
              <w:t>正压</w:t>
            </w:r>
            <w:r>
              <w:rPr>
                <w:rFonts w:hint="default" w:ascii="Times New Roman" w:hAnsi="Times New Roman" w:cs="Times New Roman"/>
                <w:bCs/>
                <w:color w:val="auto"/>
                <w:sz w:val="24"/>
                <w:highlight w:val="none"/>
              </w:rPr>
              <w:t>收集到二级活性炭箱体处置，故是合理可行的。</w:t>
            </w:r>
          </w:p>
          <w:p w14:paraId="749A2207">
            <w:pPr>
              <w:tabs>
                <w:tab w:val="center" w:pos="4758"/>
              </w:tabs>
              <w:autoSpaceDE/>
              <w:autoSpaceDN/>
              <w:adjustRightInd w:val="0"/>
              <w:snapToGrid w:val="0"/>
              <w:spacing w:line="360" w:lineRule="auto"/>
              <w:ind w:firstLine="480" w:firstLineChars="200"/>
              <w:jc w:val="left"/>
              <w:textAlignment w:val="baseline"/>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kern w:val="2"/>
                <w:sz w:val="24"/>
                <w:szCs w:val="24"/>
                <w:highlight w:val="none"/>
                <w:lang w:val="en-US" w:eastAsia="zh-CN"/>
              </w:rPr>
              <w:t>⑤</w:t>
            </w:r>
            <w:r>
              <w:rPr>
                <w:rFonts w:hint="default" w:ascii="Times New Roman" w:hAnsi="Times New Roman" w:eastAsia="宋体" w:cs="Times New Roman"/>
                <w:bCs/>
                <w:color w:val="auto"/>
                <w:sz w:val="24"/>
                <w:szCs w:val="24"/>
                <w:highlight w:val="none"/>
              </w:rPr>
              <w:t>风量合理性分析</w:t>
            </w:r>
          </w:p>
          <w:p w14:paraId="3D7C60D2">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right="0" w:rightChars="0"/>
              <w:jc w:val="center"/>
              <w:textAlignment w:val="auto"/>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略</w:t>
            </w:r>
          </w:p>
          <w:p w14:paraId="0A92BA4A">
            <w:pPr>
              <w:pStyle w:val="4"/>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right="0" w:rightChars="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大气监测计划</w:t>
            </w:r>
          </w:p>
          <w:p w14:paraId="0ADC9BA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 w:val="0"/>
                <w:bCs/>
                <w:color w:val="auto"/>
                <w:spacing w:val="-10"/>
                <w:kern w:val="2"/>
                <w:sz w:val="24"/>
                <w:szCs w:val="24"/>
                <w:highlight w:val="none"/>
                <w:vertAlign w:val="baseline"/>
                <w:lang w:val="en-US" w:eastAsia="zh-CN" w:bidi="ar-SA"/>
              </w:rPr>
            </w:pPr>
            <w:r>
              <w:rPr>
                <w:rFonts w:hint="default" w:ascii="Times New Roman" w:hAnsi="Times New Roman" w:eastAsia="宋体" w:cs="Times New Roman"/>
                <w:b w:val="0"/>
                <w:bCs/>
                <w:color w:val="auto"/>
                <w:spacing w:val="-10"/>
                <w:kern w:val="2"/>
                <w:sz w:val="24"/>
                <w:szCs w:val="24"/>
                <w:highlight w:val="none"/>
                <w:vertAlign w:val="baseline"/>
                <w:lang w:val="en-US" w:eastAsia="zh-CN" w:bidi="ar-SA"/>
              </w:rPr>
              <w:t>自行监测计划按</w:t>
            </w:r>
            <w:r>
              <w:rPr>
                <w:rFonts w:hint="default" w:ascii="Times New Roman" w:hAnsi="Times New Roman" w:cs="Times New Roman"/>
                <w:color w:val="auto"/>
                <w:sz w:val="24"/>
                <w:highlight w:val="none"/>
              </w:rPr>
              <w:t>《排污单位自行监测技术指南总则》(HJ819-2017)</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b w:val="0"/>
                <w:bCs/>
                <w:color w:val="auto"/>
                <w:spacing w:val="-10"/>
                <w:kern w:val="2"/>
                <w:sz w:val="24"/>
                <w:szCs w:val="24"/>
                <w:highlight w:val="none"/>
                <w:vertAlign w:val="baseline"/>
                <w:lang w:val="en-US" w:eastAsia="zh-CN" w:bidi="ar-SA"/>
              </w:rPr>
              <w:t>《排污单位自行监测技术指南 电池工业》（HJ 1204-2021）相关规范执行，见下表。</w:t>
            </w:r>
          </w:p>
          <w:p w14:paraId="66625909">
            <w:pPr>
              <w:pStyle w:val="37"/>
              <w:bidi w:val="0"/>
              <w:rPr>
                <w:rFonts w:hint="default"/>
                <w:lang w:val="en-US" w:eastAsia="zh-CN"/>
              </w:rPr>
            </w:pPr>
            <w:r>
              <w:rPr>
                <w:rFonts w:hint="default"/>
                <w:lang w:val="en-US" w:eastAsia="zh-CN"/>
              </w:rPr>
              <w:t>表4.</w:t>
            </w:r>
            <w:r>
              <w:rPr>
                <w:rFonts w:hint="eastAsia"/>
                <w:lang w:val="en-US" w:eastAsia="zh-CN"/>
              </w:rPr>
              <w:t>9</w:t>
            </w:r>
            <w:r>
              <w:rPr>
                <w:rFonts w:hint="default"/>
                <w:lang w:val="en-US" w:eastAsia="zh-CN"/>
              </w:rPr>
              <w:t xml:space="preserve"> </w:t>
            </w:r>
            <w:r>
              <w:rPr>
                <w:rFonts w:hint="eastAsia"/>
                <w:lang w:val="en-US" w:eastAsia="zh-CN"/>
              </w:rPr>
              <w:t xml:space="preserve"> </w:t>
            </w:r>
            <w:r>
              <w:rPr>
                <w:rFonts w:hint="default"/>
                <w:lang w:val="en-US" w:eastAsia="zh-CN"/>
              </w:rPr>
              <w:t>废气监测计划</w:t>
            </w:r>
            <w:r>
              <w:rPr>
                <w:rFonts w:hint="eastAsia"/>
                <w:lang w:val="en-US" w:eastAsia="zh-CN"/>
              </w:rPr>
              <w:t>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157"/>
              <w:gridCol w:w="1260"/>
              <w:gridCol w:w="1109"/>
              <w:gridCol w:w="2919"/>
              <w:gridCol w:w="731"/>
            </w:tblGrid>
            <w:tr w14:paraId="67918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l2br w:val="nil"/>
                    <w:tr2bl w:val="nil"/>
                  </w:tcBorders>
                  <w:vAlign w:val="center"/>
                </w:tcPr>
                <w:p w14:paraId="6E695C27">
                  <w:pPr>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类别</w:t>
                  </w:r>
                </w:p>
              </w:tc>
              <w:tc>
                <w:tcPr>
                  <w:tcW w:w="1170" w:type="dxa"/>
                  <w:tcBorders>
                    <w:tl2br w:val="nil"/>
                    <w:tr2bl w:val="nil"/>
                  </w:tcBorders>
                  <w:vAlign w:val="center"/>
                </w:tcPr>
                <w:p w14:paraId="067FC616">
                  <w:pPr>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监测点位</w:t>
                  </w:r>
                </w:p>
              </w:tc>
              <w:tc>
                <w:tcPr>
                  <w:tcW w:w="1275" w:type="dxa"/>
                  <w:tcBorders>
                    <w:tl2br w:val="nil"/>
                    <w:tr2bl w:val="nil"/>
                  </w:tcBorders>
                  <w:vAlign w:val="center"/>
                </w:tcPr>
                <w:p w14:paraId="20DC83B1">
                  <w:pPr>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监测项目</w:t>
                  </w:r>
                </w:p>
              </w:tc>
              <w:tc>
                <w:tcPr>
                  <w:tcW w:w="1122" w:type="dxa"/>
                  <w:tcBorders>
                    <w:tl2br w:val="nil"/>
                    <w:tr2bl w:val="nil"/>
                  </w:tcBorders>
                  <w:vAlign w:val="center"/>
                </w:tcPr>
                <w:p w14:paraId="5DBA6B83">
                  <w:pPr>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监测频次</w:t>
                  </w:r>
                </w:p>
              </w:tc>
              <w:tc>
                <w:tcPr>
                  <w:tcW w:w="2958" w:type="dxa"/>
                  <w:tcBorders>
                    <w:tl2br w:val="nil"/>
                    <w:tr2bl w:val="nil"/>
                  </w:tcBorders>
                  <w:vAlign w:val="center"/>
                </w:tcPr>
                <w:p w14:paraId="7A831455">
                  <w:pPr>
                    <w:jc w:val="center"/>
                    <w:rPr>
                      <w:rFonts w:hint="default" w:ascii="Times New Roman" w:hAnsi="Times New Roman" w:eastAsia="宋体" w:cs="Times New Roman"/>
                      <w:b w:val="0"/>
                      <w:bCs/>
                      <w:color w:val="auto"/>
                      <w:highlight w:val="none"/>
                      <w:vertAlign w:val="baseline"/>
                      <w:lang w:val="en-US" w:eastAsia="zh-CN"/>
                    </w:rPr>
                  </w:pPr>
                  <w:r>
                    <w:rPr>
                      <w:rFonts w:hint="default" w:ascii="Times New Roman" w:hAnsi="Times New Roman" w:cs="Times New Roman"/>
                      <w:b/>
                      <w:bCs/>
                      <w:color w:val="auto"/>
                      <w:highlight w:val="none"/>
                      <w:lang w:eastAsia="zh-CN"/>
                    </w:rPr>
                    <w:t>执行排放标准</w:t>
                  </w:r>
                </w:p>
              </w:tc>
              <w:tc>
                <w:tcPr>
                  <w:tcW w:w="738" w:type="dxa"/>
                  <w:tcBorders>
                    <w:tl2br w:val="nil"/>
                    <w:tr2bl w:val="nil"/>
                  </w:tcBorders>
                  <w:vAlign w:val="center"/>
                </w:tcPr>
                <w:p w14:paraId="730BCC7B">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bCs/>
                      <w:color w:val="auto"/>
                      <w:highlight w:val="none"/>
                    </w:rPr>
                    <w:t>备注</w:t>
                  </w:r>
                </w:p>
              </w:tc>
            </w:tr>
            <w:tr w14:paraId="31896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Merge w:val="restart"/>
                  <w:tcBorders>
                    <w:tl2br w:val="nil"/>
                    <w:tr2bl w:val="nil"/>
                  </w:tcBorders>
                  <w:vAlign w:val="center"/>
                </w:tcPr>
                <w:p w14:paraId="33398C0A">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有组织废气</w:t>
                  </w:r>
                </w:p>
              </w:tc>
              <w:tc>
                <w:tcPr>
                  <w:tcW w:w="1170" w:type="dxa"/>
                  <w:tcBorders>
                    <w:tl2br w:val="nil"/>
                    <w:tr2bl w:val="nil"/>
                  </w:tcBorders>
                  <w:vAlign w:val="center"/>
                </w:tcPr>
                <w:p w14:paraId="20185CB8">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DA001</w:t>
                  </w:r>
                </w:p>
              </w:tc>
              <w:tc>
                <w:tcPr>
                  <w:tcW w:w="1275" w:type="dxa"/>
                  <w:tcBorders>
                    <w:tl2br w:val="nil"/>
                    <w:tr2bl w:val="nil"/>
                  </w:tcBorders>
                  <w:vAlign w:val="center"/>
                </w:tcPr>
                <w:p w14:paraId="61DF863E">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非甲烷总烃</w:t>
                  </w:r>
                </w:p>
              </w:tc>
              <w:tc>
                <w:tcPr>
                  <w:tcW w:w="1122" w:type="dxa"/>
                  <w:tcBorders>
                    <w:tl2br w:val="nil"/>
                    <w:tr2bl w:val="nil"/>
                  </w:tcBorders>
                  <w:vAlign w:val="center"/>
                </w:tcPr>
                <w:p w14:paraId="2B77321B">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1次/年</w:t>
                  </w:r>
                </w:p>
              </w:tc>
              <w:tc>
                <w:tcPr>
                  <w:tcW w:w="2958" w:type="dxa"/>
                  <w:vMerge w:val="restart"/>
                  <w:tcBorders>
                    <w:tl2br w:val="nil"/>
                    <w:tr2bl w:val="nil"/>
                  </w:tcBorders>
                  <w:vAlign w:val="center"/>
                </w:tcPr>
                <w:p w14:paraId="437C2258">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《大气污染物综合排放标准》（DB 32 4041-2021）</w:t>
                  </w:r>
                </w:p>
                <w:p w14:paraId="0D3920B5">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表1排放限值</w:t>
                  </w:r>
                </w:p>
              </w:tc>
              <w:tc>
                <w:tcPr>
                  <w:tcW w:w="738" w:type="dxa"/>
                  <w:vMerge w:val="restart"/>
                  <w:tcBorders>
                    <w:tl2br w:val="nil"/>
                    <w:tr2bl w:val="nil"/>
                  </w:tcBorders>
                  <w:vAlign w:val="center"/>
                </w:tcPr>
                <w:p w14:paraId="12181D91">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委托有资质的第三方检测单位</w:t>
                  </w:r>
                </w:p>
              </w:tc>
            </w:tr>
            <w:tr w14:paraId="6F493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47" w:type="dxa"/>
                  <w:vMerge w:val="continue"/>
                  <w:tcBorders>
                    <w:tl2br w:val="nil"/>
                    <w:tr2bl w:val="nil"/>
                  </w:tcBorders>
                  <w:vAlign w:val="center"/>
                </w:tcPr>
                <w:p w14:paraId="47F187D2">
                  <w:pPr>
                    <w:jc w:val="center"/>
                    <w:rPr>
                      <w:rFonts w:hint="default" w:ascii="Times New Roman" w:hAnsi="Times New Roman" w:cs="Times New Roman"/>
                      <w:b w:val="0"/>
                      <w:bCs/>
                      <w:color w:val="auto"/>
                      <w:highlight w:val="none"/>
                      <w:vertAlign w:val="baseline"/>
                      <w:lang w:val="en-US" w:eastAsia="zh-CN"/>
                    </w:rPr>
                  </w:pPr>
                </w:p>
              </w:tc>
              <w:tc>
                <w:tcPr>
                  <w:tcW w:w="1170" w:type="dxa"/>
                  <w:tcBorders>
                    <w:tl2br w:val="nil"/>
                    <w:tr2bl w:val="nil"/>
                  </w:tcBorders>
                  <w:vAlign w:val="center"/>
                </w:tcPr>
                <w:p w14:paraId="565365A9">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DA002</w:t>
                  </w:r>
                </w:p>
              </w:tc>
              <w:tc>
                <w:tcPr>
                  <w:tcW w:w="1275" w:type="dxa"/>
                  <w:tcBorders>
                    <w:tl2br w:val="nil"/>
                    <w:tr2bl w:val="nil"/>
                  </w:tcBorders>
                  <w:vAlign w:val="center"/>
                </w:tcPr>
                <w:p w14:paraId="2E754BEF">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非甲烷总烃</w:t>
                  </w:r>
                </w:p>
              </w:tc>
              <w:tc>
                <w:tcPr>
                  <w:tcW w:w="1122" w:type="dxa"/>
                  <w:tcBorders>
                    <w:tl2br w:val="nil"/>
                    <w:tr2bl w:val="nil"/>
                  </w:tcBorders>
                  <w:vAlign w:val="center"/>
                </w:tcPr>
                <w:p w14:paraId="3019D8F0">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1次/年</w:t>
                  </w:r>
                </w:p>
              </w:tc>
              <w:tc>
                <w:tcPr>
                  <w:tcW w:w="2958" w:type="dxa"/>
                  <w:vMerge w:val="continue"/>
                  <w:tcBorders>
                    <w:tl2br w:val="nil"/>
                    <w:tr2bl w:val="nil"/>
                  </w:tcBorders>
                  <w:vAlign w:val="center"/>
                </w:tcPr>
                <w:p w14:paraId="788F21BB">
                  <w:pPr>
                    <w:jc w:val="center"/>
                    <w:rPr>
                      <w:rFonts w:hint="default" w:ascii="Times New Roman" w:hAnsi="Times New Roman" w:cs="Times New Roman"/>
                      <w:b w:val="0"/>
                      <w:bCs/>
                      <w:color w:val="auto"/>
                      <w:highlight w:val="none"/>
                      <w:vertAlign w:val="baseline"/>
                      <w:lang w:val="en-US" w:eastAsia="zh-CN"/>
                    </w:rPr>
                  </w:pPr>
                </w:p>
              </w:tc>
              <w:tc>
                <w:tcPr>
                  <w:tcW w:w="738" w:type="dxa"/>
                  <w:vMerge w:val="continue"/>
                  <w:tcBorders>
                    <w:tl2br w:val="nil"/>
                    <w:tr2bl w:val="nil"/>
                  </w:tcBorders>
                  <w:vAlign w:val="center"/>
                </w:tcPr>
                <w:p w14:paraId="63721188">
                  <w:pPr>
                    <w:jc w:val="center"/>
                    <w:rPr>
                      <w:rFonts w:hint="default" w:ascii="Times New Roman" w:hAnsi="Times New Roman" w:cs="Times New Roman"/>
                      <w:b w:val="0"/>
                      <w:bCs/>
                      <w:color w:val="auto"/>
                      <w:highlight w:val="none"/>
                      <w:vertAlign w:val="baseline"/>
                      <w:lang w:val="en-US" w:eastAsia="zh-CN"/>
                    </w:rPr>
                  </w:pPr>
                </w:p>
              </w:tc>
            </w:tr>
            <w:tr w14:paraId="173F6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947" w:type="dxa"/>
                  <w:vMerge w:val="continue"/>
                  <w:tcBorders>
                    <w:tl2br w:val="nil"/>
                    <w:tr2bl w:val="nil"/>
                  </w:tcBorders>
                  <w:vAlign w:val="center"/>
                </w:tcPr>
                <w:p w14:paraId="3B41FCCC">
                  <w:pPr>
                    <w:jc w:val="center"/>
                    <w:rPr>
                      <w:rFonts w:hint="default" w:ascii="Times New Roman" w:hAnsi="Times New Roman" w:cs="Times New Roman"/>
                      <w:color w:val="auto"/>
                      <w:highlight w:val="none"/>
                    </w:rPr>
                  </w:pPr>
                </w:p>
              </w:tc>
              <w:tc>
                <w:tcPr>
                  <w:tcW w:w="1170" w:type="dxa"/>
                  <w:tcBorders>
                    <w:tl2br w:val="nil"/>
                    <w:tr2bl w:val="nil"/>
                  </w:tcBorders>
                  <w:vAlign w:val="center"/>
                </w:tcPr>
                <w:p w14:paraId="4925322C">
                  <w:pPr>
                    <w:jc w:val="center"/>
                    <w:rPr>
                      <w:rFonts w:hint="default" w:ascii="Times New Roman" w:hAnsi="Times New Roman" w:eastAsia="宋体" w:cs="Times New Roman"/>
                      <w:b w:val="0"/>
                      <w:bCs/>
                      <w:color w:val="auto"/>
                      <w:kern w:val="2"/>
                      <w:sz w:val="21"/>
                      <w:szCs w:val="24"/>
                      <w:highlight w:val="none"/>
                      <w:vertAlign w:val="baseline"/>
                      <w:lang w:val="en-US" w:eastAsia="zh-CN" w:bidi="ar-SA"/>
                    </w:rPr>
                  </w:pPr>
                  <w:r>
                    <w:rPr>
                      <w:rFonts w:hint="default" w:ascii="Times New Roman" w:hAnsi="Times New Roman" w:cs="Times New Roman"/>
                      <w:b w:val="0"/>
                      <w:bCs/>
                      <w:color w:val="auto"/>
                      <w:highlight w:val="none"/>
                      <w:vertAlign w:val="baseline"/>
                      <w:lang w:val="en-US" w:eastAsia="zh-CN"/>
                    </w:rPr>
                    <w:t>DA003</w:t>
                  </w:r>
                </w:p>
              </w:tc>
              <w:tc>
                <w:tcPr>
                  <w:tcW w:w="1275" w:type="dxa"/>
                  <w:tcBorders>
                    <w:tl2br w:val="nil"/>
                    <w:tr2bl w:val="nil"/>
                  </w:tcBorders>
                  <w:vAlign w:val="center"/>
                </w:tcPr>
                <w:p w14:paraId="76EF0F06">
                  <w:pPr>
                    <w:jc w:val="center"/>
                    <w:rPr>
                      <w:rFonts w:hint="default" w:ascii="Times New Roman" w:hAnsi="Times New Roman" w:eastAsia="宋体" w:cs="Times New Roman"/>
                      <w:b w:val="0"/>
                      <w:bCs/>
                      <w:color w:val="auto"/>
                      <w:kern w:val="2"/>
                      <w:sz w:val="21"/>
                      <w:szCs w:val="24"/>
                      <w:highlight w:val="none"/>
                      <w:vertAlign w:val="baseline"/>
                      <w:lang w:val="en-US" w:eastAsia="zh-CN" w:bidi="ar-SA"/>
                    </w:rPr>
                  </w:pPr>
                  <w:r>
                    <w:rPr>
                      <w:rFonts w:hint="default" w:ascii="Times New Roman" w:hAnsi="Times New Roman" w:cs="Times New Roman"/>
                      <w:b w:val="0"/>
                      <w:bCs/>
                      <w:color w:val="auto"/>
                      <w:highlight w:val="none"/>
                      <w:vertAlign w:val="baseline"/>
                      <w:lang w:val="en-US" w:eastAsia="zh-CN"/>
                    </w:rPr>
                    <w:t>非甲烷总烃</w:t>
                  </w:r>
                </w:p>
              </w:tc>
              <w:tc>
                <w:tcPr>
                  <w:tcW w:w="1122" w:type="dxa"/>
                  <w:tcBorders>
                    <w:tl2br w:val="nil"/>
                    <w:tr2bl w:val="nil"/>
                  </w:tcBorders>
                  <w:vAlign w:val="center"/>
                </w:tcPr>
                <w:p w14:paraId="6E698534">
                  <w:pPr>
                    <w:jc w:val="center"/>
                    <w:rPr>
                      <w:rFonts w:hint="default" w:ascii="Times New Roman" w:hAnsi="Times New Roman" w:eastAsia="宋体" w:cs="Times New Roman"/>
                      <w:b w:val="0"/>
                      <w:bCs/>
                      <w:color w:val="auto"/>
                      <w:kern w:val="2"/>
                      <w:sz w:val="21"/>
                      <w:szCs w:val="24"/>
                      <w:highlight w:val="none"/>
                      <w:vertAlign w:val="baseline"/>
                      <w:lang w:val="en-US" w:eastAsia="zh-CN" w:bidi="ar-SA"/>
                    </w:rPr>
                  </w:pPr>
                  <w:r>
                    <w:rPr>
                      <w:rFonts w:hint="default" w:ascii="Times New Roman" w:hAnsi="Times New Roman" w:cs="Times New Roman"/>
                      <w:b w:val="0"/>
                      <w:bCs/>
                      <w:color w:val="auto"/>
                      <w:highlight w:val="none"/>
                      <w:vertAlign w:val="baseline"/>
                      <w:lang w:val="en-US" w:eastAsia="zh-CN"/>
                    </w:rPr>
                    <w:t>1次/年</w:t>
                  </w:r>
                </w:p>
              </w:tc>
              <w:tc>
                <w:tcPr>
                  <w:tcW w:w="2958" w:type="dxa"/>
                  <w:vMerge w:val="continue"/>
                  <w:tcBorders>
                    <w:tl2br w:val="nil"/>
                    <w:tr2bl w:val="nil"/>
                  </w:tcBorders>
                  <w:vAlign w:val="center"/>
                </w:tcPr>
                <w:p w14:paraId="65AEE53D">
                  <w:pPr>
                    <w:jc w:val="center"/>
                    <w:rPr>
                      <w:rFonts w:hint="default" w:ascii="Times New Roman" w:hAnsi="Times New Roman" w:cs="Times New Roman"/>
                      <w:b w:val="0"/>
                      <w:bCs/>
                      <w:color w:val="auto"/>
                      <w:highlight w:val="none"/>
                      <w:vertAlign w:val="baseline"/>
                      <w:lang w:val="en-US" w:eastAsia="zh-CN"/>
                    </w:rPr>
                  </w:pPr>
                </w:p>
              </w:tc>
              <w:tc>
                <w:tcPr>
                  <w:tcW w:w="738" w:type="dxa"/>
                  <w:vMerge w:val="continue"/>
                  <w:tcBorders>
                    <w:tl2br w:val="nil"/>
                    <w:tr2bl w:val="nil"/>
                  </w:tcBorders>
                  <w:vAlign w:val="center"/>
                </w:tcPr>
                <w:p w14:paraId="0E5A8BFC">
                  <w:pPr>
                    <w:jc w:val="center"/>
                    <w:rPr>
                      <w:rFonts w:hint="default" w:ascii="Times New Roman" w:hAnsi="Times New Roman" w:cs="Times New Roman"/>
                      <w:b w:val="0"/>
                      <w:bCs/>
                      <w:color w:val="auto"/>
                      <w:highlight w:val="none"/>
                      <w:vertAlign w:val="baseline"/>
                      <w:lang w:val="en-US" w:eastAsia="zh-CN"/>
                    </w:rPr>
                  </w:pPr>
                </w:p>
              </w:tc>
            </w:tr>
            <w:tr w14:paraId="28F4F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7" w:type="dxa"/>
                  <w:tcBorders>
                    <w:tl2br w:val="nil"/>
                    <w:tr2bl w:val="nil"/>
                  </w:tcBorders>
                  <w:vAlign w:val="center"/>
                </w:tcPr>
                <w:p w14:paraId="0276AE79">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无组织废气</w:t>
                  </w:r>
                </w:p>
              </w:tc>
              <w:tc>
                <w:tcPr>
                  <w:tcW w:w="1170" w:type="dxa"/>
                  <w:tcBorders>
                    <w:tl2br w:val="nil"/>
                    <w:tr2bl w:val="nil"/>
                  </w:tcBorders>
                  <w:vAlign w:val="center"/>
                </w:tcPr>
                <w:p w14:paraId="4678F7BF">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厂区内厂房外</w:t>
                  </w:r>
                </w:p>
              </w:tc>
              <w:tc>
                <w:tcPr>
                  <w:tcW w:w="1275" w:type="dxa"/>
                  <w:tcBorders>
                    <w:tl2br w:val="nil"/>
                    <w:tr2bl w:val="nil"/>
                  </w:tcBorders>
                  <w:vAlign w:val="center"/>
                </w:tcPr>
                <w:p w14:paraId="2547BB7E">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非甲烷总烃</w:t>
                  </w:r>
                </w:p>
              </w:tc>
              <w:tc>
                <w:tcPr>
                  <w:tcW w:w="1122" w:type="dxa"/>
                  <w:tcBorders>
                    <w:tl2br w:val="nil"/>
                    <w:tr2bl w:val="nil"/>
                  </w:tcBorders>
                  <w:vAlign w:val="center"/>
                </w:tcPr>
                <w:p w14:paraId="000F81AF">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1次/年</w:t>
                  </w:r>
                </w:p>
              </w:tc>
              <w:tc>
                <w:tcPr>
                  <w:tcW w:w="2958" w:type="dxa"/>
                  <w:tcBorders>
                    <w:tl2br w:val="nil"/>
                    <w:tr2bl w:val="nil"/>
                  </w:tcBorders>
                  <w:vAlign w:val="center"/>
                </w:tcPr>
                <w:p w14:paraId="2EEEA748">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《大气污染物综合排放标准》（DB 32 4041-2021）</w:t>
                  </w:r>
                </w:p>
                <w:p w14:paraId="32C27D0E">
                  <w:pPr>
                    <w:jc w:val="center"/>
                    <w:rPr>
                      <w:rFonts w:hint="default" w:ascii="Times New Roman" w:hAnsi="Times New Roman" w:cs="Times New Roman"/>
                      <w:b w:val="0"/>
                      <w:bCs/>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eastAsia="zh-CN"/>
                    </w:rPr>
                    <w:t>表2排放限值</w:t>
                  </w:r>
                </w:p>
              </w:tc>
              <w:tc>
                <w:tcPr>
                  <w:tcW w:w="738" w:type="dxa"/>
                  <w:vMerge w:val="continue"/>
                  <w:tcBorders>
                    <w:tl2br w:val="nil"/>
                    <w:tr2bl w:val="nil"/>
                  </w:tcBorders>
                  <w:vAlign w:val="center"/>
                </w:tcPr>
                <w:p w14:paraId="0F5B6655">
                  <w:pPr>
                    <w:jc w:val="center"/>
                    <w:rPr>
                      <w:rFonts w:hint="default" w:ascii="Times New Roman" w:hAnsi="Times New Roman" w:cs="Times New Roman"/>
                      <w:b w:val="0"/>
                      <w:bCs/>
                      <w:color w:val="auto"/>
                      <w:highlight w:val="none"/>
                      <w:vertAlign w:val="baseline"/>
                      <w:lang w:val="en-US" w:eastAsia="zh-CN"/>
                    </w:rPr>
                  </w:pPr>
                </w:p>
              </w:tc>
            </w:tr>
          </w:tbl>
          <w:p w14:paraId="77A7116A">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2、废水</w:t>
            </w:r>
          </w:p>
          <w:p w14:paraId="6DC10F56">
            <w:pPr>
              <w:adjustRightInd w:val="0"/>
              <w:snapToGrid w:val="0"/>
              <w:spacing w:line="360" w:lineRule="auto"/>
              <w:ind w:firstLine="442" w:firstLineChars="200"/>
              <w:jc w:val="left"/>
              <w:rPr>
                <w:rFonts w:hint="default" w:ascii="Times New Roman" w:hAnsi="Times New Roman" w:cs="Times New Roman"/>
                <w:color w:val="auto"/>
                <w:highlight w:val="none"/>
              </w:rPr>
            </w:pPr>
            <w:r>
              <w:rPr>
                <w:rFonts w:hint="default" w:ascii="Times New Roman" w:hAnsi="Times New Roman" w:cs="Times New Roman"/>
                <w:b/>
                <w:color w:val="auto"/>
                <w:spacing w:val="-10"/>
                <w:sz w:val="24"/>
                <w:highlight w:val="none"/>
              </w:rPr>
              <w:t>2.1废水源强分析</w:t>
            </w:r>
          </w:p>
          <w:p w14:paraId="5ABED7A1">
            <w:pPr>
              <w:pStyle w:val="32"/>
              <w:adjustRightInd w:val="0"/>
              <w:snapToGrid w:val="0"/>
              <w:ind w:firstLine="440"/>
              <w:jc w:val="left"/>
              <w:rPr>
                <w:rFonts w:hint="default" w:ascii="Times New Roman" w:hAnsi="Times New Roman" w:cs="Times New Roman"/>
                <w:bCs/>
                <w:color w:val="auto"/>
                <w:spacing w:val="-10"/>
                <w:highlight w:val="none"/>
              </w:rPr>
            </w:pPr>
            <w:r>
              <w:rPr>
                <w:rFonts w:hint="default" w:ascii="Times New Roman" w:hAnsi="Times New Roman" w:cs="Times New Roman"/>
                <w:bCs/>
                <w:color w:val="auto"/>
                <w:spacing w:val="-10"/>
                <w:highlight w:val="none"/>
                <w:lang w:val="en-US" w:eastAsia="zh-CN"/>
              </w:rPr>
              <w:t>生活污水部分：排放量为合计</w:t>
            </w:r>
            <w:r>
              <w:rPr>
                <w:rFonts w:hint="eastAsia" w:cs="Times New Roman"/>
                <w:bCs/>
                <w:color w:val="auto"/>
                <w:spacing w:val="-10"/>
                <w:highlight w:val="none"/>
                <w:lang w:val="en-US" w:eastAsia="zh-CN"/>
              </w:rPr>
              <w:t>1800</w:t>
            </w:r>
            <w:r>
              <w:rPr>
                <w:rFonts w:hint="default" w:ascii="Times New Roman" w:hAnsi="Times New Roman" w:cs="Times New Roman"/>
                <w:bCs/>
                <w:color w:val="auto"/>
                <w:spacing w:val="-10"/>
                <w:highlight w:val="none"/>
                <w:lang w:val="en-US" w:eastAsia="zh-CN"/>
              </w:rPr>
              <w:t xml:space="preserve"> t/a。</w:t>
            </w:r>
            <w:r>
              <w:rPr>
                <w:rFonts w:hint="default" w:ascii="Times New Roman" w:hAnsi="Times New Roman" w:cs="Times New Roman"/>
                <w:bCs/>
                <w:color w:val="auto"/>
                <w:spacing w:val="-10"/>
                <w:highlight w:val="none"/>
              </w:rPr>
              <w:t>排污系数参考《排放源统计调查排污核算方法和系数手册》，确定主要污染物排污系数为：COD 340 mg/L、SS 300 mg/L、NH</w:t>
            </w:r>
            <w:r>
              <w:rPr>
                <w:rFonts w:hint="default" w:ascii="Times New Roman" w:hAnsi="Times New Roman" w:cs="Times New Roman"/>
                <w:bCs/>
                <w:color w:val="auto"/>
                <w:spacing w:val="-10"/>
                <w:highlight w:val="none"/>
                <w:vertAlign w:val="subscript"/>
              </w:rPr>
              <w:t>3</w:t>
            </w:r>
            <w:r>
              <w:rPr>
                <w:rFonts w:hint="default" w:ascii="Times New Roman" w:hAnsi="Times New Roman" w:cs="Times New Roman"/>
                <w:bCs/>
                <w:color w:val="auto"/>
                <w:spacing w:val="-10"/>
                <w:highlight w:val="none"/>
              </w:rPr>
              <w:t>-N 32.6 mg/L、</w:t>
            </w:r>
            <w:r>
              <w:rPr>
                <w:rFonts w:hint="default" w:ascii="Times New Roman" w:hAnsi="Times New Roman" w:cs="Times New Roman"/>
                <w:bCs/>
                <w:color w:val="auto"/>
                <w:spacing w:val="-10"/>
                <w:highlight w:val="none"/>
                <w:lang w:val="en-US" w:eastAsia="zh-CN"/>
              </w:rPr>
              <w:t xml:space="preserve">TP </w:t>
            </w:r>
            <w:r>
              <w:rPr>
                <w:rFonts w:hint="default" w:ascii="Times New Roman" w:hAnsi="Times New Roman" w:cs="Times New Roman"/>
                <w:bCs/>
                <w:color w:val="auto"/>
                <w:spacing w:val="-10"/>
                <w:highlight w:val="none"/>
              </w:rPr>
              <w:t>4.27 mg/L、TN 44.8 mg/L，经</w:t>
            </w:r>
            <w:r>
              <w:rPr>
                <w:rFonts w:hint="eastAsia" w:cs="Times New Roman"/>
                <w:bCs/>
                <w:color w:val="auto"/>
                <w:spacing w:val="-10"/>
                <w:highlight w:val="none"/>
                <w:lang w:val="en-US" w:eastAsia="zh-CN"/>
              </w:rPr>
              <w:t>隔油池和</w:t>
            </w:r>
            <w:r>
              <w:rPr>
                <w:rFonts w:hint="default" w:ascii="Times New Roman" w:hAnsi="Times New Roman" w:cs="Times New Roman"/>
                <w:bCs/>
                <w:color w:val="auto"/>
                <w:spacing w:val="-10"/>
                <w:highlight w:val="none"/>
              </w:rPr>
              <w:t>化粪池预处理达接管标准后，接入市政污水管网，送</w:t>
            </w:r>
            <w:r>
              <w:rPr>
                <w:rFonts w:hint="default" w:ascii="Times New Roman" w:hAnsi="Times New Roman" w:cs="Times New Roman"/>
                <w:bCs/>
                <w:color w:val="auto"/>
                <w:spacing w:val="-10"/>
                <w:highlight w:val="none"/>
                <w:lang w:val="en-US" w:eastAsia="zh-CN"/>
              </w:rPr>
              <w:t>六圩</w:t>
            </w:r>
            <w:r>
              <w:rPr>
                <w:rFonts w:hint="default" w:ascii="Times New Roman" w:hAnsi="Times New Roman" w:cs="Times New Roman"/>
                <w:bCs/>
                <w:color w:val="auto"/>
                <w:spacing w:val="-10"/>
                <w:highlight w:val="none"/>
              </w:rPr>
              <w:t>污水处理厂深度处理。</w:t>
            </w:r>
          </w:p>
          <w:p w14:paraId="4076B115">
            <w:pPr>
              <w:pStyle w:val="32"/>
              <w:adjustRightInd w:val="0"/>
              <w:snapToGrid w:val="0"/>
              <w:ind w:firstLine="440"/>
              <w:jc w:val="left"/>
              <w:rPr>
                <w:rFonts w:hint="default" w:ascii="Times New Roman" w:hAnsi="Times New Roman" w:eastAsia="宋体" w:cs="Times New Roman"/>
                <w:bCs/>
                <w:color w:val="auto"/>
                <w:spacing w:val="-10"/>
                <w:highlight w:val="none"/>
                <w:lang w:eastAsia="zh-CN"/>
              </w:rPr>
            </w:pPr>
            <w:r>
              <w:rPr>
                <w:rFonts w:hint="default" w:ascii="Times New Roman" w:hAnsi="Times New Roman" w:cs="Times New Roman"/>
                <w:bCs/>
                <w:color w:val="auto"/>
                <w:spacing w:val="-10"/>
                <w:highlight w:val="none"/>
                <w:lang w:val="en-US" w:eastAsia="zh-CN"/>
              </w:rPr>
              <w:t>纯水制备浓水和反冲洗废水部分：根据同类型的纯水制备过程废水检测报告（见附件1</w:t>
            </w:r>
            <w:r>
              <w:rPr>
                <w:rFonts w:hint="eastAsia" w:cs="Times New Roman"/>
                <w:bCs/>
                <w:color w:val="auto"/>
                <w:spacing w:val="-10"/>
                <w:highlight w:val="none"/>
                <w:lang w:val="en-US" w:eastAsia="zh-CN"/>
              </w:rPr>
              <w:t>3</w:t>
            </w:r>
            <w:r>
              <w:rPr>
                <w:rFonts w:hint="default" w:ascii="Times New Roman" w:hAnsi="Times New Roman" w:cs="Times New Roman"/>
                <w:bCs/>
                <w:color w:val="auto"/>
                <w:spacing w:val="-10"/>
                <w:highlight w:val="none"/>
                <w:lang w:val="en-US" w:eastAsia="zh-CN"/>
              </w:rPr>
              <w:t>），确定污染物的系数为：纯水制备浓水：</w:t>
            </w:r>
            <w:r>
              <w:rPr>
                <w:rFonts w:hint="default" w:ascii="Times New Roman" w:hAnsi="Times New Roman" w:cs="Times New Roman"/>
                <w:bCs/>
                <w:color w:val="auto"/>
                <w:spacing w:val="-10"/>
                <w:highlight w:val="none"/>
              </w:rPr>
              <w:t xml:space="preserve">COD </w:t>
            </w:r>
            <w:r>
              <w:rPr>
                <w:rFonts w:hint="default" w:ascii="Times New Roman" w:hAnsi="Times New Roman" w:cs="Times New Roman"/>
                <w:bCs/>
                <w:color w:val="auto"/>
                <w:spacing w:val="-10"/>
                <w:highlight w:val="none"/>
                <w:lang w:val="en-US" w:eastAsia="zh-CN"/>
              </w:rPr>
              <w:t>5</w:t>
            </w:r>
            <w:r>
              <w:rPr>
                <w:rFonts w:hint="default" w:ascii="Times New Roman" w:hAnsi="Times New Roman" w:cs="Times New Roman"/>
                <w:bCs/>
                <w:color w:val="auto"/>
                <w:spacing w:val="-10"/>
                <w:highlight w:val="none"/>
              </w:rPr>
              <w:t xml:space="preserve"> mg/L、SS </w:t>
            </w:r>
            <w:r>
              <w:rPr>
                <w:rFonts w:hint="default" w:ascii="Times New Roman" w:hAnsi="Times New Roman" w:cs="Times New Roman"/>
                <w:bCs/>
                <w:color w:val="auto"/>
                <w:spacing w:val="-10"/>
                <w:highlight w:val="none"/>
                <w:lang w:val="en-US" w:eastAsia="zh-CN"/>
              </w:rPr>
              <w:t>9</w:t>
            </w:r>
            <w:r>
              <w:rPr>
                <w:rFonts w:hint="default" w:ascii="Times New Roman" w:hAnsi="Times New Roman" w:cs="Times New Roman"/>
                <w:bCs/>
                <w:color w:val="auto"/>
                <w:spacing w:val="-10"/>
                <w:highlight w:val="none"/>
              </w:rPr>
              <w:t xml:space="preserve"> mg/L，</w:t>
            </w:r>
            <w:r>
              <w:rPr>
                <w:rFonts w:hint="default" w:ascii="Times New Roman" w:hAnsi="Times New Roman" w:cs="Times New Roman"/>
                <w:bCs/>
                <w:color w:val="auto"/>
                <w:spacing w:val="-10"/>
                <w:highlight w:val="none"/>
                <w:lang w:val="en-US" w:eastAsia="zh-CN"/>
              </w:rPr>
              <w:t>反冲洗废水：</w:t>
            </w:r>
            <w:r>
              <w:rPr>
                <w:rFonts w:hint="default" w:ascii="Times New Roman" w:hAnsi="Times New Roman" w:cs="Times New Roman"/>
                <w:bCs/>
                <w:color w:val="auto"/>
                <w:spacing w:val="-10"/>
                <w:highlight w:val="none"/>
              </w:rPr>
              <w:t xml:space="preserve">COD </w:t>
            </w:r>
            <w:r>
              <w:rPr>
                <w:rFonts w:hint="default" w:ascii="Times New Roman" w:hAnsi="Times New Roman" w:cs="Times New Roman"/>
                <w:bCs/>
                <w:color w:val="auto"/>
                <w:spacing w:val="-10"/>
                <w:highlight w:val="none"/>
                <w:lang w:val="en-US" w:eastAsia="zh-CN"/>
              </w:rPr>
              <w:t>10</w:t>
            </w:r>
            <w:r>
              <w:rPr>
                <w:rFonts w:hint="default" w:ascii="Times New Roman" w:hAnsi="Times New Roman" w:cs="Times New Roman"/>
                <w:bCs/>
                <w:color w:val="auto"/>
                <w:spacing w:val="-10"/>
                <w:highlight w:val="none"/>
              </w:rPr>
              <w:t xml:space="preserve"> mg/L、SS </w:t>
            </w:r>
            <w:r>
              <w:rPr>
                <w:rFonts w:hint="default" w:ascii="Times New Roman" w:hAnsi="Times New Roman" w:cs="Times New Roman"/>
                <w:bCs/>
                <w:color w:val="auto"/>
                <w:spacing w:val="-10"/>
                <w:highlight w:val="none"/>
                <w:lang w:val="en-US" w:eastAsia="zh-CN"/>
              </w:rPr>
              <w:t>5</w:t>
            </w:r>
            <w:r>
              <w:rPr>
                <w:rFonts w:hint="default" w:ascii="Times New Roman" w:hAnsi="Times New Roman" w:cs="Times New Roman"/>
                <w:bCs/>
                <w:color w:val="auto"/>
                <w:spacing w:val="-10"/>
                <w:highlight w:val="none"/>
              </w:rPr>
              <w:t xml:space="preserve"> mg/L</w:t>
            </w:r>
            <w:r>
              <w:rPr>
                <w:rFonts w:hint="default" w:ascii="Times New Roman" w:hAnsi="Times New Roman" w:cs="Times New Roman"/>
                <w:bCs/>
                <w:color w:val="auto"/>
                <w:spacing w:val="-10"/>
                <w:highlight w:val="none"/>
                <w:lang w:eastAsia="zh-CN"/>
              </w:rPr>
              <w:t>。</w:t>
            </w:r>
          </w:p>
          <w:p w14:paraId="4F73F3A7">
            <w:pPr>
              <w:pStyle w:val="32"/>
              <w:adjustRightInd w:val="0"/>
              <w:snapToGrid w:val="0"/>
              <w:ind w:firstLine="440"/>
              <w:jc w:val="left"/>
              <w:rPr>
                <w:rFonts w:hint="default" w:ascii="Times New Roman" w:hAnsi="Times New Roman" w:eastAsia="宋体" w:cs="Times New Roman"/>
                <w:bCs/>
                <w:color w:val="auto"/>
                <w:spacing w:val="-10"/>
                <w:highlight w:val="none"/>
                <w:lang w:val="en-US" w:eastAsia="zh-CN"/>
              </w:rPr>
            </w:pPr>
            <w:r>
              <w:rPr>
                <w:rFonts w:hint="default" w:ascii="Times New Roman" w:hAnsi="Times New Roman" w:cs="Times New Roman"/>
                <w:bCs/>
                <w:color w:val="auto"/>
                <w:spacing w:val="-10"/>
                <w:highlight w:val="none"/>
                <w:lang w:val="en-US" w:eastAsia="zh-CN"/>
              </w:rPr>
              <w:t>纯水冲洗部分：根据同类型项目的纯水冲洗过程产生的废水检测报告（见附件1</w:t>
            </w:r>
            <w:r>
              <w:rPr>
                <w:rFonts w:hint="eastAsia" w:cs="Times New Roman"/>
                <w:bCs/>
                <w:color w:val="auto"/>
                <w:spacing w:val="-10"/>
                <w:highlight w:val="none"/>
                <w:lang w:val="en-US" w:eastAsia="zh-CN"/>
              </w:rPr>
              <w:t>4</w:t>
            </w:r>
            <w:r>
              <w:rPr>
                <w:rFonts w:hint="default" w:ascii="Times New Roman" w:hAnsi="Times New Roman" w:cs="Times New Roman"/>
                <w:bCs/>
                <w:color w:val="auto"/>
                <w:spacing w:val="-10"/>
                <w:highlight w:val="none"/>
                <w:lang w:val="en-US" w:eastAsia="zh-CN"/>
              </w:rPr>
              <w:t>），确定污染物及其系数为：</w:t>
            </w:r>
            <w:r>
              <w:rPr>
                <w:rFonts w:hint="default" w:ascii="Times New Roman" w:hAnsi="Times New Roman" w:cs="Times New Roman"/>
                <w:bCs/>
                <w:color w:val="auto"/>
                <w:spacing w:val="-10"/>
                <w:highlight w:val="none"/>
              </w:rPr>
              <w:t xml:space="preserve">COD </w:t>
            </w:r>
            <w:r>
              <w:rPr>
                <w:rFonts w:hint="default" w:ascii="Times New Roman" w:hAnsi="Times New Roman" w:cs="Times New Roman"/>
                <w:bCs/>
                <w:color w:val="auto"/>
                <w:spacing w:val="-10"/>
                <w:highlight w:val="none"/>
                <w:lang w:val="en-US" w:eastAsia="zh-CN"/>
              </w:rPr>
              <w:t>6</w:t>
            </w:r>
            <w:r>
              <w:rPr>
                <w:rFonts w:hint="default" w:ascii="Times New Roman" w:hAnsi="Times New Roman" w:cs="Times New Roman"/>
                <w:bCs/>
                <w:color w:val="auto"/>
                <w:spacing w:val="-10"/>
                <w:highlight w:val="none"/>
              </w:rPr>
              <w:t xml:space="preserve"> mg/L、SS </w:t>
            </w:r>
            <w:r>
              <w:rPr>
                <w:rFonts w:hint="default" w:ascii="Times New Roman" w:hAnsi="Times New Roman" w:cs="Times New Roman"/>
                <w:bCs/>
                <w:color w:val="auto"/>
                <w:spacing w:val="-10"/>
                <w:highlight w:val="none"/>
                <w:lang w:val="en-US" w:eastAsia="zh-CN"/>
              </w:rPr>
              <w:t>6</w:t>
            </w:r>
            <w:r>
              <w:rPr>
                <w:rFonts w:hint="default" w:ascii="Times New Roman" w:hAnsi="Times New Roman" w:cs="Times New Roman"/>
                <w:bCs/>
                <w:color w:val="auto"/>
                <w:spacing w:val="-10"/>
                <w:highlight w:val="none"/>
              </w:rPr>
              <w:t xml:space="preserve"> mg/L</w:t>
            </w:r>
            <w:r>
              <w:rPr>
                <w:rFonts w:hint="default" w:ascii="Times New Roman" w:hAnsi="Times New Roman" w:cs="Times New Roman"/>
                <w:bCs/>
                <w:color w:val="auto"/>
                <w:spacing w:val="-10"/>
                <w:highlight w:val="none"/>
                <w:lang w:eastAsia="zh-CN"/>
              </w:rPr>
              <w:t>，</w:t>
            </w:r>
            <w:r>
              <w:rPr>
                <w:rFonts w:hint="default" w:ascii="Times New Roman" w:hAnsi="Times New Roman" w:cs="Times New Roman"/>
                <w:bCs/>
                <w:color w:val="auto"/>
                <w:spacing w:val="-10"/>
                <w:highlight w:val="none"/>
                <w:lang w:val="en-US" w:eastAsia="zh-CN"/>
              </w:rPr>
              <w:t>石油类</w:t>
            </w:r>
            <w:r>
              <w:rPr>
                <w:rFonts w:hint="default" w:ascii="Times New Roman" w:hAnsi="Times New Roman" w:cs="Times New Roman"/>
                <w:bCs/>
                <w:color w:val="auto"/>
                <w:spacing w:val="-10"/>
                <w:highlight w:val="none"/>
              </w:rPr>
              <w:t xml:space="preserve"> </w:t>
            </w:r>
            <w:r>
              <w:rPr>
                <w:rFonts w:hint="default" w:ascii="Times New Roman" w:hAnsi="Times New Roman" w:cs="Times New Roman"/>
                <w:bCs/>
                <w:color w:val="auto"/>
                <w:spacing w:val="-10"/>
                <w:highlight w:val="none"/>
                <w:lang w:val="en-US" w:eastAsia="zh-CN"/>
              </w:rPr>
              <w:t>0.24</w:t>
            </w:r>
            <w:r>
              <w:rPr>
                <w:rFonts w:hint="default" w:ascii="Times New Roman" w:hAnsi="Times New Roman" w:cs="Times New Roman"/>
                <w:bCs/>
                <w:color w:val="auto"/>
                <w:spacing w:val="-10"/>
                <w:highlight w:val="none"/>
              </w:rPr>
              <w:t xml:space="preserve"> mg/L、SS </w:t>
            </w:r>
            <w:r>
              <w:rPr>
                <w:rFonts w:hint="default" w:ascii="Times New Roman" w:hAnsi="Times New Roman" w:cs="Times New Roman"/>
                <w:bCs/>
                <w:color w:val="auto"/>
                <w:spacing w:val="-10"/>
                <w:highlight w:val="none"/>
                <w:lang w:val="en-US" w:eastAsia="zh-CN"/>
              </w:rPr>
              <w:t>0.05</w:t>
            </w:r>
            <w:r>
              <w:rPr>
                <w:rFonts w:hint="default" w:ascii="Times New Roman" w:hAnsi="Times New Roman" w:cs="Times New Roman"/>
                <w:bCs/>
                <w:color w:val="auto"/>
                <w:spacing w:val="-10"/>
                <w:highlight w:val="none"/>
              </w:rPr>
              <w:t xml:space="preserve"> mg/L</w:t>
            </w:r>
            <w:r>
              <w:rPr>
                <w:rFonts w:hint="default" w:ascii="Times New Roman" w:hAnsi="Times New Roman" w:cs="Times New Roman"/>
                <w:bCs/>
                <w:color w:val="auto"/>
                <w:spacing w:val="-10"/>
                <w:highlight w:val="none"/>
                <w:lang w:eastAsia="zh-CN"/>
              </w:rPr>
              <w:t>。</w:t>
            </w:r>
          </w:p>
          <w:p w14:paraId="732E5438">
            <w:pPr>
              <w:pStyle w:val="37"/>
              <w:bidi w:val="0"/>
              <w:rPr>
                <w:rFonts w:hint="default"/>
              </w:rPr>
            </w:pPr>
            <w:r>
              <w:rPr>
                <w:rFonts w:hint="default"/>
              </w:rPr>
              <w:t>表4.</w:t>
            </w:r>
            <w:r>
              <w:rPr>
                <w:rFonts w:hint="eastAsia"/>
                <w:lang w:val="en-US" w:eastAsia="zh-CN"/>
              </w:rPr>
              <w:t>10</w:t>
            </w:r>
            <w:r>
              <w:rPr>
                <w:rFonts w:hint="default"/>
              </w:rPr>
              <w:t xml:space="preserve">  废水污染物产生及排放状况</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92"/>
              <w:gridCol w:w="703"/>
              <w:gridCol w:w="610"/>
              <w:gridCol w:w="467"/>
              <w:gridCol w:w="755"/>
              <w:gridCol w:w="677"/>
              <w:gridCol w:w="719"/>
              <w:gridCol w:w="719"/>
              <w:gridCol w:w="816"/>
              <w:gridCol w:w="813"/>
              <w:gridCol w:w="559"/>
            </w:tblGrid>
            <w:tr w14:paraId="73800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20" w:type="pct"/>
                  <w:vMerge w:val="restart"/>
                  <w:noWrap/>
                  <w:vAlign w:val="center"/>
                </w:tcPr>
                <w:p w14:paraId="6CBD8E25">
                  <w:pPr>
                    <w:jc w:val="center"/>
                    <w:rPr>
                      <w:rFonts w:hint="default" w:ascii="Times New Roman" w:hAnsi="Times New Roman" w:cs="Times New Roman"/>
                      <w:b/>
                      <w:bCs/>
                    </w:rPr>
                  </w:pPr>
                  <w:r>
                    <w:rPr>
                      <w:rFonts w:hint="default" w:ascii="Times New Roman" w:hAnsi="Times New Roman" w:cs="Times New Roman"/>
                      <w:b/>
                      <w:bCs/>
                    </w:rPr>
                    <w:t>废水种类</w:t>
                  </w:r>
                </w:p>
              </w:tc>
              <w:tc>
                <w:tcPr>
                  <w:tcW w:w="1461" w:type="pct"/>
                  <w:gridSpan w:val="4"/>
                  <w:noWrap/>
                  <w:vAlign w:val="center"/>
                </w:tcPr>
                <w:p w14:paraId="3F031C79">
                  <w:pPr>
                    <w:jc w:val="center"/>
                    <w:rPr>
                      <w:rFonts w:hint="default" w:ascii="Times New Roman" w:hAnsi="Times New Roman" w:cs="Times New Roman"/>
                      <w:b/>
                      <w:bCs/>
                    </w:rPr>
                  </w:pPr>
                  <w:r>
                    <w:rPr>
                      <w:rFonts w:hint="default" w:ascii="Times New Roman" w:hAnsi="Times New Roman" w:cs="Times New Roman"/>
                      <w:b/>
                      <w:bCs/>
                    </w:rPr>
                    <w:t>废水产生</w:t>
                  </w:r>
                </w:p>
              </w:tc>
              <w:tc>
                <w:tcPr>
                  <w:tcW w:w="465" w:type="pct"/>
                  <w:vMerge w:val="restart"/>
                  <w:noWrap/>
                  <w:vAlign w:val="center"/>
                </w:tcPr>
                <w:p w14:paraId="756831AF">
                  <w:pPr>
                    <w:jc w:val="center"/>
                    <w:rPr>
                      <w:rFonts w:hint="default" w:ascii="Times New Roman" w:hAnsi="Times New Roman" w:cs="Times New Roman"/>
                      <w:b/>
                      <w:bCs/>
                    </w:rPr>
                  </w:pPr>
                  <w:r>
                    <w:rPr>
                      <w:rFonts w:hint="default" w:ascii="Times New Roman" w:hAnsi="Times New Roman" w:cs="Times New Roman"/>
                      <w:b/>
                      <w:bCs/>
                    </w:rPr>
                    <w:t>处置措施</w:t>
                  </w:r>
                </w:p>
              </w:tc>
              <w:tc>
                <w:tcPr>
                  <w:tcW w:w="2651" w:type="pct"/>
                  <w:gridSpan w:val="6"/>
                  <w:noWrap/>
                  <w:vAlign w:val="center"/>
                </w:tcPr>
                <w:p w14:paraId="3946FDB6">
                  <w:pPr>
                    <w:jc w:val="center"/>
                    <w:rPr>
                      <w:rFonts w:hint="default" w:ascii="Times New Roman" w:hAnsi="Times New Roman" w:cs="Times New Roman"/>
                      <w:b/>
                      <w:bCs/>
                    </w:rPr>
                  </w:pPr>
                  <w:r>
                    <w:rPr>
                      <w:rFonts w:hint="default" w:ascii="Times New Roman" w:hAnsi="Times New Roman" w:cs="Times New Roman"/>
                      <w:b/>
                      <w:bCs/>
                    </w:rPr>
                    <w:t>废水排放</w:t>
                  </w:r>
                </w:p>
              </w:tc>
            </w:tr>
            <w:tr w14:paraId="613FC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0" w:type="pct"/>
                  <w:vMerge w:val="continue"/>
                  <w:noWrap/>
                  <w:vAlign w:val="center"/>
                </w:tcPr>
                <w:p w14:paraId="10D07D18">
                  <w:pPr>
                    <w:jc w:val="center"/>
                    <w:rPr>
                      <w:rFonts w:hint="default" w:ascii="Times New Roman" w:hAnsi="Times New Roman" w:cs="Times New Roman"/>
                      <w:b/>
                      <w:bCs/>
                    </w:rPr>
                  </w:pPr>
                </w:p>
              </w:tc>
              <w:tc>
                <w:tcPr>
                  <w:tcW w:w="364" w:type="pct"/>
                  <w:vMerge w:val="restart"/>
                  <w:noWrap/>
                  <w:vAlign w:val="center"/>
                </w:tcPr>
                <w:p w14:paraId="295BC0E3">
                  <w:pPr>
                    <w:jc w:val="center"/>
                    <w:rPr>
                      <w:rFonts w:hint="default" w:ascii="Times New Roman" w:hAnsi="Times New Roman" w:cs="Times New Roman"/>
                      <w:b/>
                      <w:bCs/>
                    </w:rPr>
                  </w:pPr>
                  <w:r>
                    <w:rPr>
                      <w:rFonts w:hint="default" w:ascii="Times New Roman" w:hAnsi="Times New Roman" w:cs="Times New Roman"/>
                      <w:b/>
                      <w:bCs/>
                    </w:rPr>
                    <w:t>废水量m</w:t>
                  </w:r>
                  <w:r>
                    <w:rPr>
                      <w:rFonts w:hint="default" w:ascii="Times New Roman" w:hAnsi="Times New Roman" w:cs="Times New Roman"/>
                      <w:b/>
                      <w:bCs/>
                      <w:vertAlign w:val="superscript"/>
                    </w:rPr>
                    <w:t>3</w:t>
                  </w:r>
                  <w:r>
                    <w:rPr>
                      <w:rFonts w:hint="default" w:ascii="Times New Roman" w:hAnsi="Times New Roman" w:cs="Times New Roman"/>
                      <w:b/>
                      <w:bCs/>
                    </w:rPr>
                    <w:t>/a</w:t>
                  </w:r>
                </w:p>
              </w:tc>
              <w:tc>
                <w:tcPr>
                  <w:tcW w:w="433" w:type="pct"/>
                  <w:vMerge w:val="restart"/>
                  <w:noWrap/>
                  <w:vAlign w:val="center"/>
                </w:tcPr>
                <w:p w14:paraId="40037CA9">
                  <w:pPr>
                    <w:jc w:val="center"/>
                    <w:rPr>
                      <w:rFonts w:hint="default" w:ascii="Times New Roman" w:hAnsi="Times New Roman" w:cs="Times New Roman"/>
                      <w:b/>
                      <w:bCs/>
                    </w:rPr>
                  </w:pPr>
                  <w:r>
                    <w:rPr>
                      <w:rFonts w:hint="default" w:ascii="Times New Roman" w:hAnsi="Times New Roman" w:cs="Times New Roman"/>
                      <w:b/>
                      <w:bCs/>
                    </w:rPr>
                    <w:t>污染物名称</w:t>
                  </w:r>
                </w:p>
              </w:tc>
              <w:tc>
                <w:tcPr>
                  <w:tcW w:w="663" w:type="pct"/>
                  <w:gridSpan w:val="2"/>
                  <w:noWrap/>
                  <w:vAlign w:val="center"/>
                </w:tcPr>
                <w:p w14:paraId="60D24213">
                  <w:pPr>
                    <w:jc w:val="center"/>
                    <w:rPr>
                      <w:rFonts w:hint="default" w:ascii="Times New Roman" w:hAnsi="Times New Roman" w:cs="Times New Roman"/>
                      <w:b/>
                      <w:bCs/>
                    </w:rPr>
                  </w:pPr>
                  <w:r>
                    <w:rPr>
                      <w:rFonts w:hint="default" w:ascii="Times New Roman" w:hAnsi="Times New Roman" w:cs="Times New Roman"/>
                      <w:b/>
                      <w:bCs/>
                    </w:rPr>
                    <w:t>污染物产生量</w:t>
                  </w:r>
                </w:p>
              </w:tc>
              <w:tc>
                <w:tcPr>
                  <w:tcW w:w="465" w:type="pct"/>
                  <w:vMerge w:val="continue"/>
                  <w:noWrap/>
                  <w:vAlign w:val="center"/>
                </w:tcPr>
                <w:p w14:paraId="7D3DB534">
                  <w:pPr>
                    <w:jc w:val="center"/>
                    <w:rPr>
                      <w:rFonts w:hint="default" w:ascii="Times New Roman" w:hAnsi="Times New Roman" w:cs="Times New Roman"/>
                      <w:b/>
                      <w:bCs/>
                    </w:rPr>
                  </w:pPr>
                </w:p>
              </w:tc>
              <w:tc>
                <w:tcPr>
                  <w:tcW w:w="417" w:type="pct"/>
                  <w:vMerge w:val="restart"/>
                  <w:noWrap/>
                  <w:vAlign w:val="center"/>
                </w:tcPr>
                <w:p w14:paraId="435D9815">
                  <w:pPr>
                    <w:jc w:val="center"/>
                    <w:rPr>
                      <w:rFonts w:hint="default" w:ascii="Times New Roman" w:hAnsi="Times New Roman" w:cs="Times New Roman"/>
                      <w:b/>
                      <w:bCs/>
                    </w:rPr>
                  </w:pPr>
                  <w:r>
                    <w:rPr>
                      <w:rFonts w:hint="default" w:ascii="Times New Roman" w:hAnsi="Times New Roman" w:cs="Times New Roman"/>
                      <w:b/>
                      <w:bCs/>
                    </w:rPr>
                    <w:t>排放量m</w:t>
                  </w:r>
                  <w:r>
                    <w:rPr>
                      <w:rFonts w:hint="default" w:ascii="Times New Roman" w:hAnsi="Times New Roman" w:cs="Times New Roman"/>
                      <w:b/>
                      <w:bCs/>
                      <w:vertAlign w:val="superscript"/>
                    </w:rPr>
                    <w:t>3</w:t>
                  </w:r>
                  <w:r>
                    <w:rPr>
                      <w:rFonts w:hint="default" w:ascii="Times New Roman" w:hAnsi="Times New Roman" w:cs="Times New Roman"/>
                      <w:b/>
                      <w:bCs/>
                    </w:rPr>
                    <w:t>/a</w:t>
                  </w:r>
                </w:p>
              </w:tc>
              <w:tc>
                <w:tcPr>
                  <w:tcW w:w="443" w:type="pct"/>
                  <w:vMerge w:val="restart"/>
                  <w:noWrap/>
                  <w:vAlign w:val="center"/>
                </w:tcPr>
                <w:p w14:paraId="78A031C5">
                  <w:pPr>
                    <w:jc w:val="center"/>
                    <w:rPr>
                      <w:rFonts w:hint="default" w:ascii="Times New Roman" w:hAnsi="Times New Roman" w:cs="Times New Roman"/>
                      <w:b/>
                      <w:bCs/>
                    </w:rPr>
                  </w:pPr>
                  <w:r>
                    <w:rPr>
                      <w:rFonts w:hint="default" w:ascii="Times New Roman" w:hAnsi="Times New Roman" w:cs="Times New Roman"/>
                      <w:b/>
                      <w:bCs/>
                    </w:rPr>
                    <w:t>污染物名称</w:t>
                  </w:r>
                </w:p>
              </w:tc>
              <w:tc>
                <w:tcPr>
                  <w:tcW w:w="946" w:type="pct"/>
                  <w:gridSpan w:val="2"/>
                  <w:noWrap/>
                  <w:vAlign w:val="center"/>
                </w:tcPr>
                <w:p w14:paraId="34A25218">
                  <w:pPr>
                    <w:jc w:val="center"/>
                    <w:rPr>
                      <w:rFonts w:hint="default" w:ascii="Times New Roman" w:hAnsi="Times New Roman" w:cs="Times New Roman"/>
                      <w:b/>
                      <w:bCs/>
                    </w:rPr>
                  </w:pPr>
                  <w:r>
                    <w:rPr>
                      <w:rFonts w:hint="default" w:ascii="Times New Roman" w:hAnsi="Times New Roman" w:cs="Times New Roman"/>
                      <w:b/>
                      <w:bCs/>
                    </w:rPr>
                    <w:t>污染物排放量</w:t>
                  </w:r>
                </w:p>
              </w:tc>
              <w:tc>
                <w:tcPr>
                  <w:tcW w:w="501" w:type="pct"/>
                  <w:vMerge w:val="restart"/>
                  <w:noWrap/>
                  <w:vAlign w:val="center"/>
                </w:tcPr>
                <w:p w14:paraId="5234428D">
                  <w:pPr>
                    <w:jc w:val="center"/>
                    <w:rPr>
                      <w:rFonts w:hint="default" w:ascii="Times New Roman" w:hAnsi="Times New Roman" w:cs="Times New Roman"/>
                      <w:b/>
                      <w:bCs/>
                    </w:rPr>
                  </w:pPr>
                  <w:r>
                    <w:rPr>
                      <w:rFonts w:hint="default" w:ascii="Times New Roman" w:hAnsi="Times New Roman" w:cs="Times New Roman"/>
                      <w:b/>
                      <w:bCs/>
                    </w:rPr>
                    <w:t>接管浓度限值mg/L</w:t>
                  </w:r>
                </w:p>
              </w:tc>
              <w:tc>
                <w:tcPr>
                  <w:tcW w:w="344" w:type="pct"/>
                  <w:vMerge w:val="restart"/>
                  <w:noWrap/>
                  <w:vAlign w:val="center"/>
                </w:tcPr>
                <w:p w14:paraId="39EA0147">
                  <w:pPr>
                    <w:jc w:val="center"/>
                    <w:rPr>
                      <w:rFonts w:hint="default" w:ascii="Times New Roman" w:hAnsi="Times New Roman" w:cs="Times New Roman"/>
                      <w:b/>
                      <w:bCs/>
                    </w:rPr>
                  </w:pPr>
                  <w:r>
                    <w:rPr>
                      <w:rFonts w:hint="default" w:ascii="Times New Roman" w:hAnsi="Times New Roman" w:cs="Times New Roman"/>
                      <w:b/>
                      <w:bCs/>
                    </w:rPr>
                    <w:t>排放去向</w:t>
                  </w:r>
                </w:p>
              </w:tc>
            </w:tr>
            <w:tr w14:paraId="0F866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420" w:type="pct"/>
                  <w:vMerge w:val="continue"/>
                  <w:noWrap/>
                  <w:vAlign w:val="center"/>
                </w:tcPr>
                <w:p w14:paraId="6638329D">
                  <w:pPr>
                    <w:jc w:val="center"/>
                    <w:rPr>
                      <w:rFonts w:hint="default" w:ascii="Times New Roman" w:hAnsi="Times New Roman" w:cs="Times New Roman"/>
                      <w:b/>
                      <w:bCs/>
                    </w:rPr>
                  </w:pPr>
                </w:p>
              </w:tc>
              <w:tc>
                <w:tcPr>
                  <w:tcW w:w="364" w:type="pct"/>
                  <w:vMerge w:val="continue"/>
                  <w:noWrap/>
                  <w:vAlign w:val="center"/>
                </w:tcPr>
                <w:p w14:paraId="14FA95F7">
                  <w:pPr>
                    <w:jc w:val="center"/>
                    <w:rPr>
                      <w:rFonts w:hint="default" w:ascii="Times New Roman" w:hAnsi="Times New Roman" w:cs="Times New Roman"/>
                      <w:b/>
                      <w:bCs/>
                    </w:rPr>
                  </w:pPr>
                </w:p>
              </w:tc>
              <w:tc>
                <w:tcPr>
                  <w:tcW w:w="433" w:type="pct"/>
                  <w:vMerge w:val="continue"/>
                  <w:noWrap/>
                  <w:vAlign w:val="center"/>
                </w:tcPr>
                <w:p w14:paraId="6C57F1E7">
                  <w:pPr>
                    <w:jc w:val="center"/>
                    <w:rPr>
                      <w:rFonts w:hint="default" w:ascii="Times New Roman" w:hAnsi="Times New Roman" w:cs="Times New Roman"/>
                      <w:b/>
                      <w:bCs/>
                    </w:rPr>
                  </w:pPr>
                </w:p>
              </w:tc>
              <w:tc>
                <w:tcPr>
                  <w:tcW w:w="375" w:type="pct"/>
                  <w:noWrap/>
                  <w:vAlign w:val="center"/>
                </w:tcPr>
                <w:p w14:paraId="04E82E92">
                  <w:pPr>
                    <w:jc w:val="center"/>
                    <w:rPr>
                      <w:rFonts w:hint="default" w:ascii="Times New Roman" w:hAnsi="Times New Roman" w:cs="Times New Roman"/>
                      <w:b/>
                      <w:bCs/>
                    </w:rPr>
                  </w:pPr>
                  <w:r>
                    <w:rPr>
                      <w:rFonts w:hint="default" w:ascii="Times New Roman" w:hAnsi="Times New Roman" w:cs="Times New Roman"/>
                      <w:b/>
                      <w:bCs/>
                    </w:rPr>
                    <w:t>浓度mg/L</w:t>
                  </w:r>
                </w:p>
              </w:tc>
              <w:tc>
                <w:tcPr>
                  <w:tcW w:w="287" w:type="pct"/>
                  <w:noWrap/>
                  <w:vAlign w:val="center"/>
                </w:tcPr>
                <w:p w14:paraId="5A4F500F">
                  <w:pPr>
                    <w:jc w:val="center"/>
                    <w:rPr>
                      <w:rFonts w:hint="default" w:ascii="Times New Roman" w:hAnsi="Times New Roman" w:cs="Times New Roman"/>
                      <w:b/>
                      <w:bCs/>
                    </w:rPr>
                  </w:pPr>
                  <w:r>
                    <w:rPr>
                      <w:rFonts w:hint="default" w:ascii="Times New Roman" w:hAnsi="Times New Roman" w:cs="Times New Roman"/>
                      <w:b/>
                      <w:bCs/>
                    </w:rPr>
                    <w:t>产生量t/a</w:t>
                  </w:r>
                </w:p>
              </w:tc>
              <w:tc>
                <w:tcPr>
                  <w:tcW w:w="465" w:type="pct"/>
                  <w:vMerge w:val="continue"/>
                  <w:noWrap/>
                  <w:vAlign w:val="center"/>
                </w:tcPr>
                <w:p w14:paraId="2FBF320E">
                  <w:pPr>
                    <w:jc w:val="center"/>
                    <w:rPr>
                      <w:rFonts w:hint="default" w:ascii="Times New Roman" w:hAnsi="Times New Roman" w:cs="Times New Roman"/>
                      <w:b/>
                      <w:bCs/>
                    </w:rPr>
                  </w:pPr>
                </w:p>
              </w:tc>
              <w:tc>
                <w:tcPr>
                  <w:tcW w:w="417" w:type="pct"/>
                  <w:vMerge w:val="continue"/>
                  <w:noWrap/>
                  <w:vAlign w:val="center"/>
                </w:tcPr>
                <w:p w14:paraId="54F01E6C">
                  <w:pPr>
                    <w:jc w:val="center"/>
                    <w:rPr>
                      <w:rFonts w:hint="default" w:ascii="Times New Roman" w:hAnsi="Times New Roman" w:cs="Times New Roman"/>
                      <w:b/>
                      <w:bCs/>
                    </w:rPr>
                  </w:pPr>
                </w:p>
              </w:tc>
              <w:tc>
                <w:tcPr>
                  <w:tcW w:w="443" w:type="pct"/>
                  <w:vMerge w:val="continue"/>
                  <w:noWrap/>
                  <w:vAlign w:val="center"/>
                </w:tcPr>
                <w:p w14:paraId="1ACBFF30">
                  <w:pPr>
                    <w:jc w:val="center"/>
                    <w:rPr>
                      <w:rFonts w:hint="default" w:ascii="Times New Roman" w:hAnsi="Times New Roman" w:cs="Times New Roman"/>
                      <w:b/>
                      <w:bCs/>
                    </w:rPr>
                  </w:pPr>
                </w:p>
              </w:tc>
              <w:tc>
                <w:tcPr>
                  <w:tcW w:w="443" w:type="pct"/>
                  <w:noWrap/>
                  <w:vAlign w:val="center"/>
                </w:tcPr>
                <w:p w14:paraId="1F0981C5">
                  <w:pPr>
                    <w:jc w:val="center"/>
                    <w:rPr>
                      <w:rFonts w:hint="default" w:ascii="Times New Roman" w:hAnsi="Times New Roman" w:cs="Times New Roman"/>
                      <w:b/>
                      <w:bCs/>
                    </w:rPr>
                  </w:pPr>
                  <w:r>
                    <w:rPr>
                      <w:rFonts w:hint="default" w:ascii="Times New Roman" w:hAnsi="Times New Roman" w:cs="Times New Roman"/>
                      <w:b/>
                      <w:bCs/>
                    </w:rPr>
                    <w:t>浓度mg/L</w:t>
                  </w:r>
                </w:p>
              </w:tc>
              <w:tc>
                <w:tcPr>
                  <w:tcW w:w="502" w:type="pct"/>
                  <w:noWrap/>
                  <w:vAlign w:val="center"/>
                </w:tcPr>
                <w:p w14:paraId="4AC43849">
                  <w:pPr>
                    <w:jc w:val="center"/>
                    <w:rPr>
                      <w:rFonts w:hint="default" w:ascii="Times New Roman" w:hAnsi="Times New Roman" w:cs="Times New Roman"/>
                      <w:b/>
                      <w:bCs/>
                    </w:rPr>
                  </w:pPr>
                  <w:r>
                    <w:rPr>
                      <w:rFonts w:hint="default" w:ascii="Times New Roman" w:hAnsi="Times New Roman" w:cs="Times New Roman"/>
                      <w:b/>
                      <w:bCs/>
                    </w:rPr>
                    <w:t>排放量t/a</w:t>
                  </w:r>
                </w:p>
              </w:tc>
              <w:tc>
                <w:tcPr>
                  <w:tcW w:w="501" w:type="pct"/>
                  <w:vMerge w:val="continue"/>
                  <w:noWrap/>
                  <w:vAlign w:val="center"/>
                </w:tcPr>
                <w:p w14:paraId="64B01A90">
                  <w:pPr>
                    <w:jc w:val="center"/>
                    <w:rPr>
                      <w:rFonts w:hint="default" w:ascii="Times New Roman" w:hAnsi="Times New Roman" w:cs="Times New Roman"/>
                      <w:b w:val="0"/>
                      <w:bCs w:val="0"/>
                    </w:rPr>
                  </w:pPr>
                </w:p>
              </w:tc>
              <w:tc>
                <w:tcPr>
                  <w:tcW w:w="344" w:type="pct"/>
                  <w:vMerge w:val="continue"/>
                  <w:noWrap/>
                  <w:vAlign w:val="center"/>
                </w:tcPr>
                <w:p w14:paraId="52F8028B">
                  <w:pPr>
                    <w:jc w:val="center"/>
                    <w:rPr>
                      <w:rFonts w:hint="default" w:ascii="Times New Roman" w:hAnsi="Times New Roman" w:cs="Times New Roman"/>
                      <w:b w:val="0"/>
                      <w:bCs w:val="0"/>
                    </w:rPr>
                  </w:pPr>
                </w:p>
              </w:tc>
            </w:tr>
            <w:tr w14:paraId="29F40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restart"/>
                  <w:noWrap/>
                  <w:vAlign w:val="center"/>
                </w:tcPr>
                <w:p w14:paraId="3349324F">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冲洗废水</w:t>
                  </w:r>
                </w:p>
              </w:tc>
              <w:tc>
                <w:tcPr>
                  <w:tcW w:w="364" w:type="pct"/>
                  <w:vMerge w:val="restart"/>
                  <w:noWrap/>
                  <w:vAlign w:val="center"/>
                </w:tcPr>
                <w:p w14:paraId="6CAB1F41">
                  <w:pPr>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D2D5676">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67D4238">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9E63FC5">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F70F1F9">
                  <w:pPr>
                    <w:rPr>
                      <w:rFonts w:hint="default"/>
                      <w:lang w:val="en-US" w:eastAsia="zh-CN"/>
                    </w:rPr>
                  </w:pPr>
                  <w:r>
                    <w:rPr>
                      <w:rFonts w:hint="eastAsia" w:cs="Times New Roman"/>
                      <w:color w:val="auto"/>
                      <w:sz w:val="24"/>
                      <w:szCs w:val="24"/>
                      <w:highlight w:val="none"/>
                      <w:lang w:val="en-US" w:eastAsia="zh-CN"/>
                    </w:rPr>
                    <w:t>***</w:t>
                  </w:r>
                </w:p>
              </w:tc>
              <w:tc>
                <w:tcPr>
                  <w:tcW w:w="433" w:type="pct"/>
                  <w:noWrap/>
                  <w:vAlign w:val="center"/>
                </w:tcPr>
                <w:p w14:paraId="3AA425E8">
                  <w:pPr>
                    <w:jc w:val="center"/>
                    <w:rPr>
                      <w:rFonts w:hint="default" w:ascii="Times New Roman" w:hAnsi="Times New Roman" w:cs="Times New Roman"/>
                      <w:b w:val="0"/>
                      <w:bCs w:val="0"/>
                    </w:rPr>
                  </w:pPr>
                  <w:r>
                    <w:rPr>
                      <w:rFonts w:hint="default" w:ascii="Times New Roman" w:hAnsi="Times New Roman" w:cs="Times New Roman"/>
                      <w:b w:val="0"/>
                      <w:bCs w:val="0"/>
                    </w:rPr>
                    <w:t>COD</w:t>
                  </w:r>
                </w:p>
              </w:tc>
              <w:tc>
                <w:tcPr>
                  <w:tcW w:w="375" w:type="pct"/>
                  <w:noWrap/>
                  <w:vAlign w:val="center"/>
                </w:tcPr>
                <w:p w14:paraId="464F132B">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287" w:type="pct"/>
                  <w:noWrap/>
                  <w:vAlign w:val="center"/>
                </w:tcPr>
                <w:p w14:paraId="629F22F3">
                  <w:pPr>
                    <w:keepNext w:val="0"/>
                    <w:keepLines w:val="0"/>
                    <w:widowControl/>
                    <w:suppressLineNumbers w:val="0"/>
                    <w:jc w:val="center"/>
                    <w:textAlignment w:val="center"/>
                    <w:rPr>
                      <w:rFonts w:hint="default" w:ascii="Times New Roman" w:hAnsi="Times New Roman" w:cs="Times New Roman"/>
                      <w:b w:val="0"/>
                      <w:bCs w:val="0"/>
                    </w:rPr>
                  </w:pPr>
                  <w:r>
                    <w:rPr>
                      <w:rFonts w:hint="eastAsia" w:cs="Times New Roman"/>
                      <w:color w:val="auto"/>
                      <w:sz w:val="24"/>
                      <w:szCs w:val="24"/>
                      <w:highlight w:val="none"/>
                      <w:lang w:val="en-US" w:eastAsia="zh-CN"/>
                    </w:rPr>
                    <w:t>***</w:t>
                  </w:r>
                </w:p>
              </w:tc>
              <w:tc>
                <w:tcPr>
                  <w:tcW w:w="465" w:type="pct"/>
                  <w:vMerge w:val="restart"/>
                  <w:noWrap/>
                  <w:vAlign w:val="center"/>
                </w:tcPr>
                <w:p w14:paraId="0E0CA550">
                  <w:pPr>
                    <w:jc w:val="center"/>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排入管网</w:t>
                  </w:r>
                </w:p>
              </w:tc>
              <w:tc>
                <w:tcPr>
                  <w:tcW w:w="417" w:type="pct"/>
                  <w:vMerge w:val="restart"/>
                  <w:noWrap/>
                  <w:vAlign w:val="center"/>
                </w:tcPr>
                <w:p w14:paraId="3398A703">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18834.477</w:t>
                  </w:r>
                </w:p>
              </w:tc>
              <w:tc>
                <w:tcPr>
                  <w:tcW w:w="443" w:type="pct"/>
                  <w:noWrap/>
                  <w:vAlign w:val="center"/>
                </w:tcPr>
                <w:p w14:paraId="17428DEF">
                  <w:pPr>
                    <w:jc w:val="center"/>
                    <w:rPr>
                      <w:rFonts w:hint="default" w:ascii="Times New Roman" w:hAnsi="Times New Roman" w:cs="Times New Roman"/>
                      <w:b w:val="0"/>
                      <w:bCs w:val="0"/>
                    </w:rPr>
                  </w:pPr>
                  <w:r>
                    <w:rPr>
                      <w:rFonts w:hint="default" w:ascii="Times New Roman" w:hAnsi="Times New Roman" w:cs="Times New Roman"/>
                      <w:b w:val="0"/>
                      <w:bCs w:val="0"/>
                    </w:rPr>
                    <w:t>COD</w:t>
                  </w:r>
                </w:p>
              </w:tc>
              <w:tc>
                <w:tcPr>
                  <w:tcW w:w="443" w:type="pct"/>
                  <w:noWrap/>
                  <w:vAlign w:val="center"/>
                </w:tcPr>
                <w:p w14:paraId="6F4BD5A6">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2" w:type="pct"/>
                  <w:noWrap/>
                  <w:vAlign w:val="center"/>
                </w:tcPr>
                <w:p w14:paraId="4B503A9D">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1" w:type="pct"/>
                  <w:noWrap/>
                  <w:vAlign w:val="center"/>
                </w:tcPr>
                <w:p w14:paraId="5FE575DF">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344" w:type="pct"/>
                  <w:vMerge w:val="restart"/>
                  <w:noWrap/>
                  <w:vAlign w:val="center"/>
                </w:tcPr>
                <w:p w14:paraId="33F65C05">
                  <w:pPr>
                    <w:jc w:val="center"/>
                    <w:rPr>
                      <w:rFonts w:hint="default" w:ascii="Times New Roman" w:hAnsi="Times New Roman" w:cs="Times New Roman"/>
                      <w:b w:val="0"/>
                      <w:bCs w:val="0"/>
                    </w:rPr>
                  </w:pPr>
                  <w:r>
                    <w:rPr>
                      <w:rFonts w:hint="default" w:ascii="Times New Roman" w:hAnsi="Times New Roman" w:cs="Times New Roman"/>
                      <w:b w:val="0"/>
                      <w:bCs w:val="0"/>
                    </w:rPr>
                    <w:t>接管至</w:t>
                  </w:r>
                  <w:r>
                    <w:rPr>
                      <w:rFonts w:hint="eastAsia" w:cs="Times New Roman"/>
                      <w:b w:val="0"/>
                      <w:bCs w:val="0"/>
                      <w:lang w:val="en-US" w:eastAsia="zh-CN"/>
                    </w:rPr>
                    <w:t>六圩</w:t>
                  </w:r>
                  <w:r>
                    <w:rPr>
                      <w:rFonts w:hint="default" w:ascii="Times New Roman" w:hAnsi="Times New Roman" w:cs="Times New Roman"/>
                      <w:b w:val="0"/>
                      <w:bCs w:val="0"/>
                    </w:rPr>
                    <w:t>污水</w:t>
                  </w:r>
                  <w:r>
                    <w:rPr>
                      <w:rFonts w:hint="eastAsia" w:cs="Times New Roman"/>
                      <w:b w:val="0"/>
                      <w:bCs w:val="0"/>
                      <w:lang w:val="en-US" w:eastAsia="zh-CN"/>
                    </w:rPr>
                    <w:t>处理</w:t>
                  </w:r>
                  <w:r>
                    <w:rPr>
                      <w:rFonts w:hint="default" w:ascii="Times New Roman" w:hAnsi="Times New Roman" w:cs="Times New Roman"/>
                      <w:b w:val="0"/>
                      <w:bCs w:val="0"/>
                    </w:rPr>
                    <w:t>厂</w:t>
                  </w:r>
                </w:p>
              </w:tc>
            </w:tr>
            <w:tr w14:paraId="764FE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noWrap/>
                  <w:vAlign w:val="center"/>
                </w:tcPr>
                <w:p w14:paraId="1100E9CD">
                  <w:pPr>
                    <w:jc w:val="center"/>
                    <w:rPr>
                      <w:rFonts w:hint="default" w:ascii="Times New Roman" w:hAnsi="Times New Roman" w:cs="Times New Roman"/>
                      <w:b w:val="0"/>
                      <w:bCs w:val="0"/>
                    </w:rPr>
                  </w:pPr>
                </w:p>
              </w:tc>
              <w:tc>
                <w:tcPr>
                  <w:tcW w:w="364" w:type="pct"/>
                  <w:vMerge w:val="continue"/>
                  <w:noWrap/>
                  <w:vAlign w:val="center"/>
                </w:tcPr>
                <w:p w14:paraId="6B160ED9">
                  <w:pPr>
                    <w:jc w:val="center"/>
                    <w:rPr>
                      <w:rFonts w:hint="default" w:ascii="Times New Roman" w:hAnsi="Times New Roman" w:cs="Times New Roman"/>
                      <w:b w:val="0"/>
                      <w:bCs w:val="0"/>
                    </w:rPr>
                  </w:pPr>
                </w:p>
              </w:tc>
              <w:tc>
                <w:tcPr>
                  <w:tcW w:w="433" w:type="pct"/>
                  <w:noWrap/>
                  <w:vAlign w:val="center"/>
                </w:tcPr>
                <w:p w14:paraId="48448F92">
                  <w:pPr>
                    <w:jc w:val="center"/>
                    <w:rPr>
                      <w:rFonts w:hint="default" w:ascii="Times New Roman" w:hAnsi="Times New Roman" w:cs="Times New Roman"/>
                      <w:b w:val="0"/>
                      <w:bCs w:val="0"/>
                    </w:rPr>
                  </w:pPr>
                  <w:r>
                    <w:rPr>
                      <w:rFonts w:hint="default" w:ascii="Times New Roman" w:hAnsi="Times New Roman" w:cs="Times New Roman"/>
                      <w:b w:val="0"/>
                      <w:bCs w:val="0"/>
                    </w:rPr>
                    <w:t>SS</w:t>
                  </w:r>
                </w:p>
              </w:tc>
              <w:tc>
                <w:tcPr>
                  <w:tcW w:w="375" w:type="pct"/>
                  <w:noWrap/>
                  <w:vAlign w:val="center"/>
                </w:tcPr>
                <w:p w14:paraId="0944ADE2">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287" w:type="pct"/>
                  <w:noWrap/>
                  <w:vAlign w:val="center"/>
                </w:tcPr>
                <w:p w14:paraId="2ACF6269">
                  <w:pPr>
                    <w:keepNext w:val="0"/>
                    <w:keepLines w:val="0"/>
                    <w:widowControl/>
                    <w:suppressLineNumbers w:val="0"/>
                    <w:jc w:val="center"/>
                    <w:textAlignment w:val="center"/>
                    <w:rPr>
                      <w:rFonts w:hint="default" w:ascii="Times New Roman" w:hAnsi="Times New Roman" w:cs="Times New Roman"/>
                      <w:b w:val="0"/>
                      <w:bCs w:val="0"/>
                    </w:rPr>
                  </w:pPr>
                  <w:r>
                    <w:rPr>
                      <w:rFonts w:hint="eastAsia" w:cs="Times New Roman"/>
                      <w:color w:val="auto"/>
                      <w:sz w:val="24"/>
                      <w:szCs w:val="24"/>
                      <w:highlight w:val="none"/>
                      <w:lang w:val="en-US" w:eastAsia="zh-CN"/>
                    </w:rPr>
                    <w:t>***</w:t>
                  </w:r>
                </w:p>
              </w:tc>
              <w:tc>
                <w:tcPr>
                  <w:tcW w:w="465" w:type="pct"/>
                  <w:vMerge w:val="continue"/>
                  <w:noWrap/>
                  <w:vAlign w:val="center"/>
                </w:tcPr>
                <w:p w14:paraId="70FF2F88">
                  <w:pPr>
                    <w:jc w:val="center"/>
                    <w:rPr>
                      <w:rFonts w:hint="default" w:ascii="Times New Roman" w:hAnsi="Times New Roman" w:cs="Times New Roman"/>
                      <w:b w:val="0"/>
                      <w:bCs w:val="0"/>
                    </w:rPr>
                  </w:pPr>
                </w:p>
              </w:tc>
              <w:tc>
                <w:tcPr>
                  <w:tcW w:w="417" w:type="pct"/>
                  <w:vMerge w:val="continue"/>
                  <w:noWrap/>
                  <w:vAlign w:val="center"/>
                </w:tcPr>
                <w:p w14:paraId="08CF6900">
                  <w:pPr>
                    <w:jc w:val="center"/>
                    <w:rPr>
                      <w:rFonts w:hint="default" w:ascii="Times New Roman" w:hAnsi="Times New Roman" w:cs="Times New Roman"/>
                      <w:b w:val="0"/>
                      <w:bCs w:val="0"/>
                    </w:rPr>
                  </w:pPr>
                </w:p>
              </w:tc>
              <w:tc>
                <w:tcPr>
                  <w:tcW w:w="443" w:type="pct"/>
                  <w:noWrap/>
                  <w:vAlign w:val="center"/>
                </w:tcPr>
                <w:p w14:paraId="17FBCA64">
                  <w:pPr>
                    <w:jc w:val="center"/>
                    <w:rPr>
                      <w:rFonts w:hint="default" w:ascii="Times New Roman" w:hAnsi="Times New Roman" w:cs="Times New Roman"/>
                      <w:b w:val="0"/>
                      <w:bCs w:val="0"/>
                    </w:rPr>
                  </w:pPr>
                  <w:r>
                    <w:rPr>
                      <w:rFonts w:hint="default" w:ascii="Times New Roman" w:hAnsi="Times New Roman" w:cs="Times New Roman"/>
                      <w:b w:val="0"/>
                      <w:bCs w:val="0"/>
                    </w:rPr>
                    <w:t>SS</w:t>
                  </w:r>
                </w:p>
              </w:tc>
              <w:tc>
                <w:tcPr>
                  <w:tcW w:w="443" w:type="pct"/>
                  <w:noWrap/>
                  <w:vAlign w:val="center"/>
                </w:tcPr>
                <w:p w14:paraId="31902A4E">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2" w:type="pct"/>
                  <w:noWrap/>
                  <w:vAlign w:val="center"/>
                </w:tcPr>
                <w:p w14:paraId="02B3D339">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1" w:type="pct"/>
                  <w:noWrap/>
                  <w:vAlign w:val="center"/>
                </w:tcPr>
                <w:p w14:paraId="47BADFDD">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344" w:type="pct"/>
                  <w:vMerge w:val="continue"/>
                  <w:noWrap/>
                  <w:vAlign w:val="center"/>
                </w:tcPr>
                <w:p w14:paraId="672AF6EE">
                  <w:pPr>
                    <w:jc w:val="center"/>
                    <w:rPr>
                      <w:rFonts w:hint="default" w:ascii="Times New Roman" w:hAnsi="Times New Roman" w:cs="Times New Roman"/>
                      <w:b w:val="0"/>
                      <w:bCs w:val="0"/>
                    </w:rPr>
                  </w:pPr>
                </w:p>
              </w:tc>
            </w:tr>
            <w:tr w14:paraId="53364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0" w:type="pct"/>
                  <w:vMerge w:val="continue"/>
                  <w:noWrap/>
                  <w:vAlign w:val="center"/>
                </w:tcPr>
                <w:p w14:paraId="72E5A76A">
                  <w:pPr>
                    <w:jc w:val="center"/>
                    <w:rPr>
                      <w:rFonts w:hint="default" w:ascii="Times New Roman" w:hAnsi="Times New Roman" w:cs="Times New Roman"/>
                      <w:b w:val="0"/>
                      <w:bCs w:val="0"/>
                    </w:rPr>
                  </w:pPr>
                </w:p>
              </w:tc>
              <w:tc>
                <w:tcPr>
                  <w:tcW w:w="364" w:type="pct"/>
                  <w:vMerge w:val="continue"/>
                  <w:noWrap/>
                  <w:vAlign w:val="center"/>
                </w:tcPr>
                <w:p w14:paraId="6F54944D">
                  <w:pPr>
                    <w:jc w:val="both"/>
                    <w:rPr>
                      <w:rFonts w:hint="default" w:ascii="Times New Roman" w:hAnsi="Times New Roman" w:cs="Times New Roman"/>
                      <w:b w:val="0"/>
                      <w:bCs w:val="0"/>
                    </w:rPr>
                  </w:pPr>
                </w:p>
              </w:tc>
              <w:tc>
                <w:tcPr>
                  <w:tcW w:w="433" w:type="pct"/>
                  <w:vMerge w:val="restart"/>
                  <w:noWrap/>
                  <w:vAlign w:val="center"/>
                </w:tcPr>
                <w:p w14:paraId="1ACA457C">
                  <w:pPr>
                    <w:jc w:val="center"/>
                    <w:rPr>
                      <w:rFonts w:hint="default" w:ascii="Times New Roman" w:hAnsi="Times New Roman" w:cs="Times New Roman"/>
                      <w:b w:val="0"/>
                      <w:bCs w:val="0"/>
                    </w:rPr>
                  </w:pPr>
                  <w:r>
                    <w:rPr>
                      <w:rFonts w:hint="default" w:ascii="Times New Roman" w:hAnsi="Times New Roman" w:cs="Times New Roman"/>
                      <w:b w:val="0"/>
                      <w:bCs w:val="0"/>
                    </w:rPr>
                    <w:t>石油类</w:t>
                  </w:r>
                </w:p>
              </w:tc>
              <w:tc>
                <w:tcPr>
                  <w:tcW w:w="375" w:type="pct"/>
                  <w:vMerge w:val="restart"/>
                  <w:noWrap/>
                  <w:vAlign w:val="center"/>
                </w:tcPr>
                <w:p w14:paraId="5CD87518">
                  <w:pPr>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27EC1DC8">
                  <w:pPr>
                    <w:rPr>
                      <w:rFonts w:hint="default"/>
                      <w:lang w:val="en-US" w:eastAsia="zh-CN"/>
                    </w:rPr>
                  </w:pPr>
                  <w:r>
                    <w:rPr>
                      <w:rFonts w:hint="eastAsia" w:cs="Times New Roman"/>
                      <w:color w:val="auto"/>
                      <w:sz w:val="24"/>
                      <w:szCs w:val="24"/>
                      <w:highlight w:val="none"/>
                      <w:lang w:val="en-US" w:eastAsia="zh-CN"/>
                    </w:rPr>
                    <w:t>***</w:t>
                  </w:r>
                </w:p>
              </w:tc>
              <w:tc>
                <w:tcPr>
                  <w:tcW w:w="287" w:type="pct"/>
                  <w:vMerge w:val="restart"/>
                  <w:noWrap/>
                  <w:vAlign w:val="center"/>
                </w:tcPr>
                <w:p w14:paraId="77110BC2">
                  <w:pPr>
                    <w:keepNext w:val="0"/>
                    <w:keepLines w:val="0"/>
                    <w:widowControl/>
                    <w:suppressLineNumbers w:val="0"/>
                    <w:jc w:val="center"/>
                    <w:textAlignment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4FA3F550">
                  <w:pPr>
                    <w:rPr>
                      <w:rFonts w:hint="default"/>
                    </w:rPr>
                  </w:pPr>
                  <w:r>
                    <w:rPr>
                      <w:rFonts w:hint="eastAsia" w:cs="Times New Roman"/>
                      <w:color w:val="auto"/>
                      <w:sz w:val="24"/>
                      <w:szCs w:val="24"/>
                      <w:highlight w:val="none"/>
                      <w:lang w:val="en-US" w:eastAsia="zh-CN"/>
                    </w:rPr>
                    <w:t>***</w:t>
                  </w:r>
                </w:p>
              </w:tc>
              <w:tc>
                <w:tcPr>
                  <w:tcW w:w="465" w:type="pct"/>
                  <w:vMerge w:val="continue"/>
                  <w:noWrap/>
                  <w:vAlign w:val="center"/>
                </w:tcPr>
                <w:p w14:paraId="63FCFCD9">
                  <w:pPr>
                    <w:jc w:val="center"/>
                    <w:rPr>
                      <w:rFonts w:hint="default" w:ascii="Times New Roman" w:hAnsi="Times New Roman" w:cs="Times New Roman"/>
                      <w:b w:val="0"/>
                      <w:bCs w:val="0"/>
                    </w:rPr>
                  </w:pPr>
                </w:p>
              </w:tc>
              <w:tc>
                <w:tcPr>
                  <w:tcW w:w="417" w:type="pct"/>
                  <w:vMerge w:val="continue"/>
                  <w:noWrap/>
                  <w:vAlign w:val="center"/>
                </w:tcPr>
                <w:p w14:paraId="7B7CF5E8">
                  <w:pPr>
                    <w:jc w:val="center"/>
                    <w:rPr>
                      <w:rFonts w:hint="default" w:ascii="Times New Roman" w:hAnsi="Times New Roman" w:cs="Times New Roman"/>
                      <w:b w:val="0"/>
                      <w:bCs w:val="0"/>
                    </w:rPr>
                  </w:pPr>
                </w:p>
              </w:tc>
              <w:tc>
                <w:tcPr>
                  <w:tcW w:w="443" w:type="pct"/>
                  <w:noWrap/>
                  <w:vAlign w:val="center"/>
                </w:tcPr>
                <w:p w14:paraId="03F2C6C3">
                  <w:pPr>
                    <w:jc w:val="center"/>
                    <w:rPr>
                      <w:rFonts w:hint="default" w:ascii="Times New Roman" w:hAnsi="Times New Roman" w:cs="Times New Roman"/>
                      <w:b w:val="0"/>
                      <w:bCs w:val="0"/>
                    </w:rPr>
                  </w:pPr>
                  <w:r>
                    <w:rPr>
                      <w:rFonts w:hint="default" w:ascii="Times New Roman" w:hAnsi="Times New Roman" w:cs="Times New Roman"/>
                      <w:b w:val="0"/>
                      <w:bCs w:val="0"/>
                    </w:rPr>
                    <w:t>石油类</w:t>
                  </w:r>
                </w:p>
              </w:tc>
              <w:tc>
                <w:tcPr>
                  <w:tcW w:w="443" w:type="pct"/>
                  <w:noWrap/>
                  <w:vAlign w:val="center"/>
                </w:tcPr>
                <w:p w14:paraId="13BFD586">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2" w:type="pct"/>
                  <w:noWrap/>
                  <w:vAlign w:val="center"/>
                </w:tcPr>
                <w:p w14:paraId="416F2F60">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1" w:type="pct"/>
                  <w:noWrap/>
                  <w:vAlign w:val="center"/>
                </w:tcPr>
                <w:p w14:paraId="61794A78">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344" w:type="pct"/>
                  <w:vMerge w:val="continue"/>
                  <w:noWrap/>
                  <w:vAlign w:val="center"/>
                </w:tcPr>
                <w:p w14:paraId="052ABA36">
                  <w:pPr>
                    <w:jc w:val="center"/>
                    <w:rPr>
                      <w:rFonts w:hint="default" w:ascii="Times New Roman" w:hAnsi="Times New Roman" w:cs="Times New Roman"/>
                      <w:b w:val="0"/>
                      <w:bCs w:val="0"/>
                    </w:rPr>
                  </w:pPr>
                </w:p>
              </w:tc>
            </w:tr>
            <w:tr w14:paraId="46511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noWrap/>
                  <w:vAlign w:val="center"/>
                </w:tcPr>
                <w:p w14:paraId="64C9D3FB">
                  <w:pPr>
                    <w:jc w:val="center"/>
                    <w:rPr>
                      <w:rFonts w:hint="default" w:ascii="Times New Roman" w:hAnsi="Times New Roman" w:cs="Times New Roman"/>
                      <w:b w:val="0"/>
                      <w:bCs w:val="0"/>
                    </w:rPr>
                  </w:pPr>
                </w:p>
              </w:tc>
              <w:tc>
                <w:tcPr>
                  <w:tcW w:w="364" w:type="pct"/>
                  <w:vMerge w:val="continue"/>
                  <w:noWrap/>
                  <w:vAlign w:val="center"/>
                </w:tcPr>
                <w:p w14:paraId="2DD62046">
                  <w:pPr>
                    <w:jc w:val="center"/>
                    <w:rPr>
                      <w:rFonts w:hint="default" w:ascii="Times New Roman" w:hAnsi="Times New Roman" w:cs="Times New Roman"/>
                      <w:b w:val="0"/>
                      <w:bCs w:val="0"/>
                    </w:rPr>
                  </w:pPr>
                </w:p>
              </w:tc>
              <w:tc>
                <w:tcPr>
                  <w:tcW w:w="433" w:type="pct"/>
                  <w:vMerge w:val="continue"/>
                  <w:noWrap/>
                  <w:vAlign w:val="center"/>
                </w:tcPr>
                <w:p w14:paraId="0AA0D9FA">
                  <w:pPr>
                    <w:jc w:val="center"/>
                    <w:rPr>
                      <w:rFonts w:hint="default" w:ascii="Times New Roman" w:hAnsi="Times New Roman" w:cs="Times New Roman"/>
                      <w:b w:val="0"/>
                      <w:bCs w:val="0"/>
                    </w:rPr>
                  </w:pPr>
                </w:p>
              </w:tc>
              <w:tc>
                <w:tcPr>
                  <w:tcW w:w="375" w:type="pct"/>
                  <w:vMerge w:val="continue"/>
                  <w:noWrap/>
                  <w:vAlign w:val="center"/>
                </w:tcPr>
                <w:p w14:paraId="57D6F64E">
                  <w:pPr>
                    <w:jc w:val="center"/>
                    <w:rPr>
                      <w:rFonts w:hint="default" w:ascii="Times New Roman" w:hAnsi="Times New Roman" w:cs="Times New Roman"/>
                      <w:b w:val="0"/>
                      <w:bCs w:val="0"/>
                    </w:rPr>
                  </w:pPr>
                </w:p>
              </w:tc>
              <w:tc>
                <w:tcPr>
                  <w:tcW w:w="287" w:type="pct"/>
                  <w:vMerge w:val="continue"/>
                  <w:noWrap/>
                  <w:vAlign w:val="center"/>
                </w:tcPr>
                <w:p w14:paraId="6CB3E7CC">
                  <w:pPr>
                    <w:jc w:val="center"/>
                    <w:rPr>
                      <w:rFonts w:hint="default" w:ascii="Times New Roman" w:hAnsi="Times New Roman" w:cs="Times New Roman"/>
                      <w:b w:val="0"/>
                      <w:bCs w:val="0"/>
                    </w:rPr>
                  </w:pPr>
                </w:p>
              </w:tc>
              <w:tc>
                <w:tcPr>
                  <w:tcW w:w="465" w:type="pct"/>
                  <w:vMerge w:val="continue"/>
                  <w:noWrap/>
                  <w:vAlign w:val="center"/>
                </w:tcPr>
                <w:p w14:paraId="4CD078AA">
                  <w:pPr>
                    <w:jc w:val="center"/>
                    <w:rPr>
                      <w:rFonts w:hint="default" w:ascii="Times New Roman" w:hAnsi="Times New Roman" w:cs="Times New Roman"/>
                      <w:b w:val="0"/>
                      <w:bCs w:val="0"/>
                    </w:rPr>
                  </w:pPr>
                </w:p>
              </w:tc>
              <w:tc>
                <w:tcPr>
                  <w:tcW w:w="417" w:type="pct"/>
                  <w:vMerge w:val="continue"/>
                  <w:noWrap/>
                  <w:vAlign w:val="center"/>
                </w:tcPr>
                <w:p w14:paraId="74B1FFD3">
                  <w:pPr>
                    <w:jc w:val="center"/>
                    <w:rPr>
                      <w:rFonts w:hint="default" w:ascii="Times New Roman" w:hAnsi="Times New Roman" w:cs="Times New Roman"/>
                      <w:b w:val="0"/>
                      <w:bCs w:val="0"/>
                    </w:rPr>
                  </w:pPr>
                </w:p>
              </w:tc>
              <w:tc>
                <w:tcPr>
                  <w:tcW w:w="443" w:type="pct"/>
                  <w:noWrap/>
                  <w:vAlign w:val="center"/>
                </w:tcPr>
                <w:p w14:paraId="6BB03B55">
                  <w:pPr>
                    <w:jc w:val="center"/>
                    <w:rPr>
                      <w:rFonts w:hint="default" w:ascii="Times New Roman" w:hAnsi="Times New Roman" w:cs="Times New Roman"/>
                      <w:b w:val="0"/>
                      <w:bCs w:val="0"/>
                    </w:rPr>
                  </w:pPr>
                  <w:r>
                    <w:rPr>
                      <w:rFonts w:hint="default" w:ascii="Times New Roman" w:hAnsi="Times New Roman" w:cs="Times New Roman"/>
                      <w:b w:val="0"/>
                      <w:bCs w:val="0"/>
                    </w:rPr>
                    <w:t>LAS</w:t>
                  </w:r>
                </w:p>
              </w:tc>
              <w:tc>
                <w:tcPr>
                  <w:tcW w:w="443" w:type="pct"/>
                  <w:noWrap/>
                  <w:vAlign w:val="center"/>
                </w:tcPr>
                <w:p w14:paraId="62E12B7B">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2" w:type="pct"/>
                  <w:noWrap/>
                  <w:vAlign w:val="center"/>
                </w:tcPr>
                <w:p w14:paraId="734DF468">
                  <w:pPr>
                    <w:keepNext w:val="0"/>
                    <w:keepLines w:val="0"/>
                    <w:widowControl/>
                    <w:suppressLineNumbers w:val="0"/>
                    <w:jc w:val="center"/>
                    <w:textAlignment w:val="center"/>
                    <w:rPr>
                      <w:rFonts w:hint="default" w:ascii="Times New Roman" w:hAnsi="Times New Roman" w:eastAsia="宋体" w:cs="Times New Roman"/>
                      <w:b w:val="0"/>
                      <w:bCs w:val="0"/>
                    </w:rPr>
                  </w:pPr>
                  <w:r>
                    <w:rPr>
                      <w:rFonts w:hint="eastAsia" w:cs="Times New Roman"/>
                      <w:color w:val="auto"/>
                      <w:sz w:val="24"/>
                      <w:szCs w:val="24"/>
                      <w:highlight w:val="none"/>
                      <w:lang w:val="en-US" w:eastAsia="zh-CN"/>
                    </w:rPr>
                    <w:t>***</w:t>
                  </w:r>
                </w:p>
              </w:tc>
              <w:tc>
                <w:tcPr>
                  <w:tcW w:w="501" w:type="pct"/>
                  <w:noWrap/>
                  <w:vAlign w:val="center"/>
                </w:tcPr>
                <w:p w14:paraId="10A63B1C">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344" w:type="pct"/>
                  <w:vMerge w:val="continue"/>
                  <w:noWrap/>
                  <w:vAlign w:val="center"/>
                </w:tcPr>
                <w:p w14:paraId="5436686E">
                  <w:pPr>
                    <w:jc w:val="center"/>
                    <w:rPr>
                      <w:rFonts w:hint="default" w:ascii="Times New Roman" w:hAnsi="Times New Roman" w:cs="Times New Roman"/>
                      <w:b w:val="0"/>
                      <w:bCs w:val="0"/>
                    </w:rPr>
                  </w:pPr>
                </w:p>
              </w:tc>
            </w:tr>
            <w:tr w14:paraId="44033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noWrap/>
                  <w:vAlign w:val="center"/>
                </w:tcPr>
                <w:p w14:paraId="2F72C459">
                  <w:pPr>
                    <w:jc w:val="center"/>
                    <w:rPr>
                      <w:rFonts w:hint="default" w:ascii="Times New Roman" w:hAnsi="Times New Roman" w:cs="Times New Roman"/>
                      <w:b w:val="0"/>
                      <w:bCs w:val="0"/>
                    </w:rPr>
                  </w:pPr>
                </w:p>
              </w:tc>
              <w:tc>
                <w:tcPr>
                  <w:tcW w:w="364" w:type="pct"/>
                  <w:vMerge w:val="continue"/>
                  <w:noWrap/>
                  <w:vAlign w:val="center"/>
                </w:tcPr>
                <w:p w14:paraId="60E3485F">
                  <w:pPr>
                    <w:jc w:val="center"/>
                    <w:rPr>
                      <w:rFonts w:hint="default" w:ascii="Times New Roman" w:hAnsi="Times New Roman" w:cs="Times New Roman"/>
                      <w:b w:val="0"/>
                      <w:bCs w:val="0"/>
                    </w:rPr>
                  </w:pPr>
                </w:p>
              </w:tc>
              <w:tc>
                <w:tcPr>
                  <w:tcW w:w="433" w:type="pct"/>
                  <w:noWrap/>
                  <w:vAlign w:val="center"/>
                </w:tcPr>
                <w:p w14:paraId="0A5C4DA4">
                  <w:pPr>
                    <w:jc w:val="center"/>
                    <w:rPr>
                      <w:rFonts w:hint="default" w:ascii="Times New Roman" w:hAnsi="Times New Roman" w:cs="Times New Roman"/>
                      <w:b w:val="0"/>
                      <w:bCs w:val="0"/>
                    </w:rPr>
                  </w:pPr>
                  <w:r>
                    <w:rPr>
                      <w:rFonts w:hint="default" w:ascii="Times New Roman" w:hAnsi="Times New Roman" w:cs="Times New Roman"/>
                      <w:b w:val="0"/>
                      <w:bCs w:val="0"/>
                    </w:rPr>
                    <w:t>LAS</w:t>
                  </w:r>
                </w:p>
              </w:tc>
              <w:tc>
                <w:tcPr>
                  <w:tcW w:w="375" w:type="pct"/>
                  <w:noWrap/>
                  <w:vAlign w:val="center"/>
                </w:tcPr>
                <w:p w14:paraId="121B39FD">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287" w:type="pct"/>
                  <w:noWrap/>
                  <w:vAlign w:val="center"/>
                </w:tcPr>
                <w:p w14:paraId="398C553C">
                  <w:pPr>
                    <w:keepNext w:val="0"/>
                    <w:keepLines w:val="0"/>
                    <w:widowControl/>
                    <w:suppressLineNumbers w:val="0"/>
                    <w:jc w:val="center"/>
                    <w:textAlignment w:val="center"/>
                    <w:rPr>
                      <w:rFonts w:hint="default" w:ascii="Times New Roman" w:hAnsi="Times New Roman" w:cs="Times New Roman"/>
                      <w:b w:val="0"/>
                      <w:bCs w:val="0"/>
                    </w:rPr>
                  </w:pPr>
                  <w:r>
                    <w:rPr>
                      <w:rFonts w:hint="eastAsia" w:cs="Times New Roman"/>
                      <w:color w:val="auto"/>
                      <w:sz w:val="24"/>
                      <w:szCs w:val="24"/>
                      <w:highlight w:val="none"/>
                      <w:lang w:val="en-US" w:eastAsia="zh-CN"/>
                    </w:rPr>
                    <w:t>***</w:t>
                  </w:r>
                </w:p>
              </w:tc>
              <w:tc>
                <w:tcPr>
                  <w:tcW w:w="465" w:type="pct"/>
                  <w:vMerge w:val="continue"/>
                  <w:noWrap/>
                  <w:vAlign w:val="center"/>
                </w:tcPr>
                <w:p w14:paraId="57AEACB9">
                  <w:pPr>
                    <w:jc w:val="center"/>
                    <w:rPr>
                      <w:rFonts w:hint="default" w:ascii="Times New Roman" w:hAnsi="Times New Roman" w:cs="Times New Roman"/>
                      <w:b w:val="0"/>
                      <w:bCs w:val="0"/>
                    </w:rPr>
                  </w:pPr>
                </w:p>
              </w:tc>
              <w:tc>
                <w:tcPr>
                  <w:tcW w:w="417" w:type="pct"/>
                  <w:vMerge w:val="continue"/>
                  <w:noWrap/>
                  <w:vAlign w:val="center"/>
                </w:tcPr>
                <w:p w14:paraId="587F28DB">
                  <w:pPr>
                    <w:jc w:val="center"/>
                    <w:rPr>
                      <w:rFonts w:hint="default" w:ascii="Times New Roman" w:hAnsi="Times New Roman" w:cs="Times New Roman"/>
                      <w:b w:val="0"/>
                      <w:bCs w:val="0"/>
                      <w:lang w:val="en-US" w:eastAsia="zh-CN"/>
                    </w:rPr>
                  </w:pPr>
                </w:p>
              </w:tc>
              <w:tc>
                <w:tcPr>
                  <w:tcW w:w="443" w:type="pct"/>
                  <w:noWrap/>
                  <w:vAlign w:val="center"/>
                </w:tcPr>
                <w:p w14:paraId="1F35173E">
                  <w:pPr>
                    <w:jc w:val="center"/>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w:t>
                  </w:r>
                </w:p>
              </w:tc>
              <w:tc>
                <w:tcPr>
                  <w:tcW w:w="443" w:type="pct"/>
                  <w:noWrap/>
                  <w:vAlign w:val="center"/>
                </w:tcPr>
                <w:p w14:paraId="52C95E8B">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502" w:type="pct"/>
                  <w:noWrap/>
                  <w:vAlign w:val="center"/>
                </w:tcPr>
                <w:p w14:paraId="123CDD1B">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501" w:type="pct"/>
                  <w:noWrap/>
                  <w:vAlign w:val="center"/>
                </w:tcPr>
                <w:p w14:paraId="43FB09C8">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344" w:type="pct"/>
                  <w:vMerge w:val="continue"/>
                  <w:noWrap/>
                  <w:vAlign w:val="center"/>
                </w:tcPr>
                <w:p w14:paraId="0D26DD67">
                  <w:pPr>
                    <w:jc w:val="center"/>
                    <w:rPr>
                      <w:rFonts w:hint="default" w:ascii="Times New Roman" w:hAnsi="Times New Roman" w:cs="Times New Roman"/>
                      <w:b w:val="0"/>
                      <w:bCs w:val="0"/>
                    </w:rPr>
                  </w:pPr>
                </w:p>
              </w:tc>
            </w:tr>
            <w:tr w14:paraId="7AF2D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restart"/>
                  <w:noWrap/>
                  <w:vAlign w:val="center"/>
                </w:tcPr>
                <w:p w14:paraId="4AAEB115">
                  <w:pPr>
                    <w:jc w:val="center"/>
                    <w:rPr>
                      <w:rFonts w:hint="default" w:ascii="Times New Roman" w:hAnsi="Times New Roman" w:cs="Times New Roman"/>
                      <w:b w:val="0"/>
                      <w:bCs w:val="0"/>
                    </w:rPr>
                  </w:pPr>
                  <w:r>
                    <w:rPr>
                      <w:rFonts w:hint="default" w:ascii="Times New Roman" w:hAnsi="Times New Roman" w:cs="Times New Roman"/>
                      <w:b w:val="0"/>
                      <w:bCs w:val="0"/>
                    </w:rPr>
                    <w:t>纯水制备浓水</w:t>
                  </w:r>
                </w:p>
              </w:tc>
              <w:tc>
                <w:tcPr>
                  <w:tcW w:w="364" w:type="pct"/>
                  <w:vMerge w:val="restart"/>
                  <w:shd w:val="clear" w:color="auto" w:fill="auto"/>
                  <w:noWrap/>
                  <w:vAlign w:val="center"/>
                </w:tcPr>
                <w:p w14:paraId="2ACC44AD">
                  <w:pPr>
                    <w:keepNext w:val="0"/>
                    <w:keepLines w:val="0"/>
                    <w:widowControl/>
                    <w:suppressLineNumbers w:val="0"/>
                    <w:jc w:val="center"/>
                    <w:textAlignment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0489228">
                  <w:pPr>
                    <w:rPr>
                      <w:rFonts w:hint="default"/>
                      <w:lang w:val="en-US" w:eastAsia="zh-CN"/>
                    </w:rPr>
                  </w:pPr>
                  <w:r>
                    <w:rPr>
                      <w:rFonts w:hint="eastAsia" w:cs="Times New Roman"/>
                      <w:color w:val="auto"/>
                      <w:sz w:val="24"/>
                      <w:szCs w:val="24"/>
                      <w:highlight w:val="none"/>
                      <w:lang w:val="en-US" w:eastAsia="zh-CN"/>
                    </w:rPr>
                    <w:t>***</w:t>
                  </w:r>
                </w:p>
              </w:tc>
              <w:tc>
                <w:tcPr>
                  <w:tcW w:w="433" w:type="pct"/>
                  <w:noWrap/>
                  <w:vAlign w:val="center"/>
                </w:tcPr>
                <w:p w14:paraId="797376B6">
                  <w:pPr>
                    <w:jc w:val="center"/>
                    <w:rPr>
                      <w:rFonts w:hint="default" w:ascii="Times New Roman" w:hAnsi="Times New Roman" w:cs="Times New Roman"/>
                      <w:b w:val="0"/>
                      <w:bCs w:val="0"/>
                    </w:rPr>
                  </w:pPr>
                  <w:r>
                    <w:rPr>
                      <w:rFonts w:hint="default" w:ascii="Times New Roman" w:hAnsi="Times New Roman" w:cs="Times New Roman"/>
                      <w:b w:val="0"/>
                      <w:bCs w:val="0"/>
                      <w:color w:val="auto"/>
                      <w:highlight w:val="none"/>
                    </w:rPr>
                    <w:t>COD</w:t>
                  </w:r>
                </w:p>
              </w:tc>
              <w:tc>
                <w:tcPr>
                  <w:tcW w:w="375" w:type="pct"/>
                  <w:noWrap/>
                  <w:vAlign w:val="center"/>
                </w:tcPr>
                <w:p w14:paraId="5D9E2A76">
                  <w:pPr>
                    <w:keepNext w:val="0"/>
                    <w:keepLines w:val="0"/>
                    <w:widowControl/>
                    <w:suppressLineNumbers w:val="0"/>
                    <w:jc w:val="center"/>
                    <w:textAlignment w:val="center"/>
                    <w:rPr>
                      <w:rFonts w:hint="default" w:ascii="Times New Roman" w:hAnsi="Times New Roman" w:cs="Times New Roman"/>
                      <w:b w:val="0"/>
                      <w:bCs w:val="0"/>
                    </w:rPr>
                  </w:pPr>
                  <w:r>
                    <w:rPr>
                      <w:rFonts w:hint="eastAsia" w:cs="Times New Roman"/>
                      <w:color w:val="auto"/>
                      <w:sz w:val="24"/>
                      <w:szCs w:val="24"/>
                      <w:highlight w:val="none"/>
                      <w:lang w:val="en-US" w:eastAsia="zh-CN"/>
                    </w:rPr>
                    <w:t>***</w:t>
                  </w:r>
                </w:p>
              </w:tc>
              <w:tc>
                <w:tcPr>
                  <w:tcW w:w="287" w:type="pct"/>
                  <w:noWrap/>
                  <w:vAlign w:val="center"/>
                </w:tcPr>
                <w:p w14:paraId="17CFE4EF">
                  <w:pPr>
                    <w:keepNext w:val="0"/>
                    <w:keepLines w:val="0"/>
                    <w:widowControl/>
                    <w:suppressLineNumbers w:val="0"/>
                    <w:jc w:val="center"/>
                    <w:textAlignment w:val="center"/>
                    <w:rPr>
                      <w:rFonts w:hint="default" w:ascii="Times New Roman" w:hAnsi="Times New Roman" w:cs="Times New Roman"/>
                      <w:b w:val="0"/>
                      <w:bCs w:val="0"/>
                    </w:rPr>
                  </w:pPr>
                  <w:r>
                    <w:rPr>
                      <w:rFonts w:hint="eastAsia" w:cs="Times New Roman"/>
                      <w:color w:val="auto"/>
                      <w:sz w:val="24"/>
                      <w:szCs w:val="24"/>
                      <w:highlight w:val="none"/>
                      <w:lang w:val="en-US" w:eastAsia="zh-CN"/>
                    </w:rPr>
                    <w:t>***</w:t>
                  </w:r>
                </w:p>
              </w:tc>
              <w:tc>
                <w:tcPr>
                  <w:tcW w:w="465" w:type="pct"/>
                  <w:vMerge w:val="continue"/>
                  <w:noWrap/>
                  <w:vAlign w:val="center"/>
                </w:tcPr>
                <w:p w14:paraId="1D8E662A">
                  <w:pPr>
                    <w:jc w:val="center"/>
                    <w:rPr>
                      <w:rFonts w:hint="default" w:ascii="Times New Roman" w:hAnsi="Times New Roman" w:cs="Times New Roman"/>
                      <w:b w:val="0"/>
                      <w:bCs w:val="0"/>
                    </w:rPr>
                  </w:pPr>
                </w:p>
              </w:tc>
              <w:tc>
                <w:tcPr>
                  <w:tcW w:w="417" w:type="pct"/>
                  <w:vMerge w:val="continue"/>
                  <w:noWrap/>
                  <w:vAlign w:val="center"/>
                </w:tcPr>
                <w:p w14:paraId="7AF21BB7">
                  <w:pPr>
                    <w:jc w:val="center"/>
                    <w:rPr>
                      <w:rFonts w:hint="default" w:ascii="Times New Roman" w:hAnsi="Times New Roman" w:cs="Times New Roman"/>
                      <w:b w:val="0"/>
                      <w:bCs w:val="0"/>
                    </w:rPr>
                  </w:pPr>
                </w:p>
              </w:tc>
              <w:tc>
                <w:tcPr>
                  <w:tcW w:w="443" w:type="pct"/>
                  <w:noWrap/>
                  <w:vAlign w:val="center"/>
                </w:tcPr>
                <w:p w14:paraId="351E401B">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443" w:type="pct"/>
                  <w:noWrap/>
                  <w:vAlign w:val="center"/>
                </w:tcPr>
                <w:p w14:paraId="648E12C4">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502" w:type="pct"/>
                  <w:noWrap/>
                  <w:vAlign w:val="center"/>
                </w:tcPr>
                <w:p w14:paraId="3972C391">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501" w:type="pct"/>
                  <w:noWrap/>
                  <w:vAlign w:val="center"/>
                </w:tcPr>
                <w:p w14:paraId="02C56DC4">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344" w:type="pct"/>
                  <w:vMerge w:val="continue"/>
                  <w:noWrap/>
                  <w:vAlign w:val="center"/>
                </w:tcPr>
                <w:p w14:paraId="6B10B4BE">
                  <w:pPr>
                    <w:jc w:val="center"/>
                    <w:rPr>
                      <w:rFonts w:hint="default" w:ascii="Times New Roman" w:hAnsi="Times New Roman" w:cs="Times New Roman"/>
                      <w:b w:val="0"/>
                      <w:bCs w:val="0"/>
                    </w:rPr>
                  </w:pPr>
                </w:p>
              </w:tc>
            </w:tr>
            <w:tr w14:paraId="2F502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noWrap/>
                  <w:vAlign w:val="center"/>
                </w:tcPr>
                <w:p w14:paraId="50C4F243">
                  <w:pPr>
                    <w:jc w:val="center"/>
                    <w:rPr>
                      <w:rFonts w:hint="default" w:ascii="Times New Roman" w:hAnsi="Times New Roman" w:cs="Times New Roman"/>
                      <w:b w:val="0"/>
                      <w:bCs w:val="0"/>
                    </w:rPr>
                  </w:pPr>
                </w:p>
              </w:tc>
              <w:tc>
                <w:tcPr>
                  <w:tcW w:w="364" w:type="pct"/>
                  <w:vMerge w:val="continue"/>
                  <w:noWrap/>
                  <w:vAlign w:val="center"/>
                </w:tcPr>
                <w:p w14:paraId="2E8EE6E8">
                  <w:pPr>
                    <w:jc w:val="center"/>
                    <w:rPr>
                      <w:rFonts w:hint="default" w:ascii="Times New Roman" w:hAnsi="Times New Roman" w:cs="Times New Roman"/>
                      <w:b w:val="0"/>
                      <w:bCs w:val="0"/>
                    </w:rPr>
                  </w:pPr>
                </w:p>
              </w:tc>
              <w:tc>
                <w:tcPr>
                  <w:tcW w:w="433" w:type="pct"/>
                  <w:noWrap/>
                  <w:vAlign w:val="center"/>
                </w:tcPr>
                <w:p w14:paraId="3B3D21B5">
                  <w:pPr>
                    <w:jc w:val="center"/>
                    <w:rPr>
                      <w:rFonts w:hint="default" w:ascii="Times New Roman" w:hAnsi="Times New Roman" w:cs="Times New Roman"/>
                      <w:b w:val="0"/>
                      <w:bCs w:val="0"/>
                    </w:rPr>
                  </w:pPr>
                  <w:r>
                    <w:rPr>
                      <w:rFonts w:hint="default" w:ascii="Times New Roman" w:hAnsi="Times New Roman" w:cs="Times New Roman"/>
                      <w:b w:val="0"/>
                      <w:bCs w:val="0"/>
                      <w:color w:val="auto"/>
                      <w:highlight w:val="none"/>
                    </w:rPr>
                    <w:t>SS</w:t>
                  </w:r>
                </w:p>
              </w:tc>
              <w:tc>
                <w:tcPr>
                  <w:tcW w:w="375" w:type="pct"/>
                  <w:noWrap/>
                  <w:vAlign w:val="center"/>
                </w:tcPr>
                <w:p w14:paraId="3342E4E9">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87" w:type="pct"/>
                  <w:noWrap/>
                  <w:vAlign w:val="center"/>
                </w:tcPr>
                <w:p w14:paraId="2854956A">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eastAsia="宋体" w:cs="Times New Roman"/>
                      <w:i w:val="0"/>
                      <w:iCs w:val="0"/>
                      <w:color w:val="000000"/>
                      <w:kern w:val="0"/>
                      <w:sz w:val="21"/>
                      <w:szCs w:val="21"/>
                      <w:u w:val="none"/>
                      <w:lang w:val="en-US" w:eastAsia="zh-CN" w:bidi="ar"/>
                    </w:rPr>
                    <w:t>0.0722</w:t>
                  </w:r>
                </w:p>
              </w:tc>
              <w:tc>
                <w:tcPr>
                  <w:tcW w:w="465" w:type="pct"/>
                  <w:vMerge w:val="continue"/>
                  <w:noWrap/>
                  <w:vAlign w:val="center"/>
                </w:tcPr>
                <w:p w14:paraId="4FF4C405">
                  <w:pPr>
                    <w:jc w:val="center"/>
                    <w:rPr>
                      <w:rFonts w:hint="default" w:ascii="Times New Roman" w:hAnsi="Times New Roman" w:cs="Times New Roman"/>
                      <w:b w:val="0"/>
                      <w:bCs w:val="0"/>
                    </w:rPr>
                  </w:pPr>
                </w:p>
              </w:tc>
              <w:tc>
                <w:tcPr>
                  <w:tcW w:w="417" w:type="pct"/>
                  <w:vMerge w:val="continue"/>
                  <w:noWrap/>
                  <w:vAlign w:val="center"/>
                </w:tcPr>
                <w:p w14:paraId="7C10DCB6">
                  <w:pPr>
                    <w:jc w:val="center"/>
                    <w:rPr>
                      <w:rFonts w:hint="default" w:ascii="Times New Roman" w:hAnsi="Times New Roman" w:cs="Times New Roman"/>
                      <w:b w:val="0"/>
                      <w:bCs w:val="0"/>
                    </w:rPr>
                  </w:pPr>
                </w:p>
              </w:tc>
              <w:tc>
                <w:tcPr>
                  <w:tcW w:w="443" w:type="pct"/>
                  <w:noWrap/>
                  <w:vAlign w:val="center"/>
                </w:tcPr>
                <w:p w14:paraId="2DF03DB6">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443" w:type="pct"/>
                  <w:noWrap/>
                  <w:vAlign w:val="center"/>
                </w:tcPr>
                <w:p w14:paraId="1F2DFA60">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502" w:type="pct"/>
                  <w:noWrap/>
                  <w:vAlign w:val="center"/>
                </w:tcPr>
                <w:p w14:paraId="6D9DD955">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cs="Times New Roman"/>
                      <w:b w:val="0"/>
                      <w:bCs w:val="0"/>
                      <w:lang w:val="en-US" w:eastAsia="zh-CN"/>
                    </w:rPr>
                    <w:t>/</w:t>
                  </w:r>
                </w:p>
              </w:tc>
              <w:tc>
                <w:tcPr>
                  <w:tcW w:w="501" w:type="pct"/>
                  <w:noWrap/>
                  <w:vAlign w:val="center"/>
                </w:tcPr>
                <w:p w14:paraId="3A4DC170">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cs="Times New Roman"/>
                      <w:b w:val="0"/>
                      <w:bCs w:val="0"/>
                      <w:lang w:val="en-US" w:eastAsia="zh-CN"/>
                    </w:rPr>
                    <w:t>/</w:t>
                  </w:r>
                </w:p>
              </w:tc>
              <w:tc>
                <w:tcPr>
                  <w:tcW w:w="344" w:type="pct"/>
                  <w:vMerge w:val="continue"/>
                  <w:noWrap/>
                  <w:vAlign w:val="center"/>
                </w:tcPr>
                <w:p w14:paraId="44A7F6C2">
                  <w:pPr>
                    <w:jc w:val="center"/>
                    <w:rPr>
                      <w:rFonts w:hint="default" w:ascii="Times New Roman" w:hAnsi="Times New Roman" w:cs="Times New Roman"/>
                      <w:b w:val="0"/>
                      <w:bCs w:val="0"/>
                    </w:rPr>
                  </w:pPr>
                </w:p>
              </w:tc>
            </w:tr>
            <w:tr w14:paraId="6F931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restart"/>
                  <w:noWrap/>
                  <w:vAlign w:val="center"/>
                </w:tcPr>
                <w:p w14:paraId="31158D0B">
                  <w:pPr>
                    <w:jc w:val="center"/>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反冲洗废水</w:t>
                  </w:r>
                </w:p>
              </w:tc>
              <w:tc>
                <w:tcPr>
                  <w:tcW w:w="364" w:type="pct"/>
                  <w:vMerge w:val="restart"/>
                  <w:noWrap/>
                  <w:vAlign w:val="center"/>
                </w:tcPr>
                <w:p w14:paraId="22D0B757">
                  <w:pPr>
                    <w:jc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433" w:type="pct"/>
                  <w:noWrap/>
                  <w:vAlign w:val="center"/>
                </w:tcPr>
                <w:p w14:paraId="3C163E00">
                  <w:pPr>
                    <w:jc w:val="center"/>
                    <w:rPr>
                      <w:rFonts w:hint="default" w:ascii="Times New Roman" w:hAnsi="Times New Roman" w:eastAsia="宋体" w:cs="Times New Roman"/>
                      <w:b w:val="0"/>
                      <w:bCs w:val="0"/>
                      <w:lang w:val="en-US" w:eastAsia="zh-CN"/>
                    </w:rPr>
                  </w:pPr>
                  <w:r>
                    <w:rPr>
                      <w:rFonts w:hint="default" w:ascii="Times New Roman" w:hAnsi="Times New Roman" w:cs="Times New Roman"/>
                      <w:b w:val="0"/>
                      <w:bCs w:val="0"/>
                      <w:color w:val="auto"/>
                      <w:highlight w:val="none"/>
                      <w:lang w:val="en-US" w:eastAsia="zh-CN"/>
                    </w:rPr>
                    <w:t>COD</w:t>
                  </w:r>
                </w:p>
              </w:tc>
              <w:tc>
                <w:tcPr>
                  <w:tcW w:w="375" w:type="pct"/>
                  <w:noWrap/>
                  <w:vAlign w:val="center"/>
                </w:tcPr>
                <w:p w14:paraId="3C556516">
                  <w:pPr>
                    <w:keepNext w:val="0"/>
                    <w:keepLines w:val="0"/>
                    <w:widowControl/>
                    <w:suppressLineNumbers w:val="0"/>
                    <w:jc w:val="center"/>
                    <w:textAlignment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287" w:type="pct"/>
                  <w:noWrap/>
                  <w:vAlign w:val="center"/>
                </w:tcPr>
                <w:p w14:paraId="3313C3BA">
                  <w:pPr>
                    <w:keepNext w:val="0"/>
                    <w:keepLines w:val="0"/>
                    <w:widowControl/>
                    <w:suppressLineNumbers w:val="0"/>
                    <w:jc w:val="center"/>
                    <w:textAlignment w:val="center"/>
                    <w:rPr>
                      <w:rFonts w:hint="default" w:ascii="Times New Roman" w:hAnsi="Times New Roman" w:eastAsia="宋体" w:cs="Times New Roman"/>
                      <w:b w:val="0"/>
                      <w:bCs w:val="0"/>
                      <w:lang w:val="en-US" w:eastAsia="zh-CN"/>
                    </w:rPr>
                  </w:pPr>
                  <w:r>
                    <w:rPr>
                      <w:rFonts w:hint="eastAsia" w:cs="Times New Roman"/>
                      <w:color w:val="auto"/>
                      <w:sz w:val="24"/>
                      <w:szCs w:val="24"/>
                      <w:highlight w:val="none"/>
                      <w:lang w:val="en-US" w:eastAsia="zh-CN"/>
                    </w:rPr>
                    <w:t>***</w:t>
                  </w:r>
                </w:p>
              </w:tc>
              <w:tc>
                <w:tcPr>
                  <w:tcW w:w="465" w:type="pct"/>
                  <w:vMerge w:val="continue"/>
                  <w:noWrap/>
                  <w:vAlign w:val="center"/>
                </w:tcPr>
                <w:p w14:paraId="54625661">
                  <w:pPr>
                    <w:jc w:val="center"/>
                    <w:rPr>
                      <w:rFonts w:hint="default" w:ascii="Times New Roman" w:hAnsi="Times New Roman" w:cs="Times New Roman"/>
                      <w:b w:val="0"/>
                      <w:bCs w:val="0"/>
                    </w:rPr>
                  </w:pPr>
                </w:p>
              </w:tc>
              <w:tc>
                <w:tcPr>
                  <w:tcW w:w="417" w:type="pct"/>
                  <w:vMerge w:val="continue"/>
                  <w:noWrap/>
                  <w:vAlign w:val="center"/>
                </w:tcPr>
                <w:p w14:paraId="2FCB00FF">
                  <w:pPr>
                    <w:jc w:val="center"/>
                    <w:rPr>
                      <w:rFonts w:hint="default" w:ascii="Times New Roman" w:hAnsi="Times New Roman" w:eastAsia="宋体" w:cs="Times New Roman"/>
                      <w:b w:val="0"/>
                      <w:bCs w:val="0"/>
                      <w:lang w:val="en-US" w:eastAsia="zh-CN"/>
                    </w:rPr>
                  </w:pPr>
                </w:p>
              </w:tc>
              <w:tc>
                <w:tcPr>
                  <w:tcW w:w="443" w:type="pct"/>
                  <w:noWrap/>
                  <w:vAlign w:val="center"/>
                </w:tcPr>
                <w:p w14:paraId="19F1F20F">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443" w:type="pct"/>
                  <w:noWrap/>
                  <w:vAlign w:val="center"/>
                </w:tcPr>
                <w:p w14:paraId="0F37014F">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502" w:type="pct"/>
                  <w:noWrap/>
                  <w:vAlign w:val="center"/>
                </w:tcPr>
                <w:p w14:paraId="08FFBFD6">
                  <w:pPr>
                    <w:jc w:val="center"/>
                    <w:rPr>
                      <w:rFonts w:hint="default" w:ascii="Times New Roman" w:hAnsi="Times New Roman" w:cs="Times New Roman"/>
                    </w:rPr>
                  </w:pPr>
                  <w:r>
                    <w:rPr>
                      <w:rFonts w:hint="default" w:ascii="Times New Roman" w:hAnsi="Times New Roman" w:cs="Times New Roman"/>
                      <w:b w:val="0"/>
                      <w:bCs w:val="0"/>
                      <w:lang w:val="en-US" w:eastAsia="zh-CN"/>
                    </w:rPr>
                    <w:t>/</w:t>
                  </w:r>
                </w:p>
              </w:tc>
              <w:tc>
                <w:tcPr>
                  <w:tcW w:w="501" w:type="pct"/>
                  <w:noWrap/>
                  <w:vAlign w:val="center"/>
                </w:tcPr>
                <w:p w14:paraId="2974369F">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344" w:type="pct"/>
                  <w:vMerge w:val="continue"/>
                  <w:noWrap/>
                  <w:vAlign w:val="center"/>
                </w:tcPr>
                <w:p w14:paraId="2D391C86">
                  <w:pPr>
                    <w:jc w:val="center"/>
                    <w:rPr>
                      <w:rFonts w:hint="default" w:ascii="Times New Roman" w:hAnsi="Times New Roman" w:cs="Times New Roman"/>
                      <w:b w:val="0"/>
                      <w:bCs w:val="0"/>
                    </w:rPr>
                  </w:pPr>
                </w:p>
              </w:tc>
            </w:tr>
            <w:tr w14:paraId="52426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noWrap/>
                  <w:vAlign w:val="center"/>
                </w:tcPr>
                <w:p w14:paraId="5F101CA2">
                  <w:pPr>
                    <w:jc w:val="center"/>
                    <w:rPr>
                      <w:rFonts w:hint="default" w:ascii="Times New Roman" w:hAnsi="Times New Roman" w:cs="Times New Roman"/>
                      <w:b w:val="0"/>
                      <w:bCs w:val="0"/>
                      <w:lang w:val="en-US" w:eastAsia="zh-CN"/>
                    </w:rPr>
                  </w:pPr>
                </w:p>
              </w:tc>
              <w:tc>
                <w:tcPr>
                  <w:tcW w:w="364" w:type="pct"/>
                  <w:vMerge w:val="continue"/>
                  <w:noWrap/>
                  <w:vAlign w:val="center"/>
                </w:tcPr>
                <w:p w14:paraId="439C8508">
                  <w:pPr>
                    <w:jc w:val="center"/>
                    <w:rPr>
                      <w:rFonts w:hint="default" w:ascii="Times New Roman" w:hAnsi="Times New Roman" w:cs="Times New Roman"/>
                      <w:b w:val="0"/>
                      <w:bCs w:val="0"/>
                      <w:lang w:val="en-US" w:eastAsia="zh-CN"/>
                    </w:rPr>
                  </w:pPr>
                </w:p>
              </w:tc>
              <w:tc>
                <w:tcPr>
                  <w:tcW w:w="433" w:type="pct"/>
                  <w:noWrap/>
                  <w:vAlign w:val="center"/>
                </w:tcPr>
                <w:p w14:paraId="4B9C7B54">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auto"/>
                      <w:highlight w:val="none"/>
                      <w:lang w:val="en-US" w:eastAsia="zh-CN"/>
                    </w:rPr>
                    <w:t>SS</w:t>
                  </w:r>
                </w:p>
              </w:tc>
              <w:tc>
                <w:tcPr>
                  <w:tcW w:w="375" w:type="pct"/>
                  <w:noWrap/>
                  <w:vAlign w:val="center"/>
                </w:tcPr>
                <w:p w14:paraId="5298E8E5">
                  <w:pPr>
                    <w:keepNext w:val="0"/>
                    <w:keepLines w:val="0"/>
                    <w:widowControl/>
                    <w:suppressLineNumbers w:val="0"/>
                    <w:jc w:val="center"/>
                    <w:textAlignment w:val="center"/>
                    <w:rPr>
                      <w:rFonts w:hint="default" w:ascii="Times New Roman" w:hAnsi="Times New Roman" w:cs="Times New Roman"/>
                      <w:b w:val="0"/>
                      <w:bCs w:val="0"/>
                      <w:lang w:val="en-US" w:eastAsia="zh-CN"/>
                    </w:rPr>
                  </w:pPr>
                  <w:r>
                    <w:rPr>
                      <w:rFonts w:hint="eastAsia" w:cs="Times New Roman"/>
                      <w:color w:val="auto"/>
                      <w:sz w:val="24"/>
                      <w:szCs w:val="24"/>
                      <w:highlight w:val="none"/>
                      <w:lang w:val="en-US" w:eastAsia="zh-CN"/>
                    </w:rPr>
                    <w:t>***</w:t>
                  </w:r>
                </w:p>
              </w:tc>
              <w:tc>
                <w:tcPr>
                  <w:tcW w:w="287" w:type="pct"/>
                  <w:noWrap/>
                  <w:vAlign w:val="center"/>
                </w:tcPr>
                <w:p w14:paraId="4D9748CB">
                  <w:pPr>
                    <w:keepNext w:val="0"/>
                    <w:keepLines w:val="0"/>
                    <w:widowControl/>
                    <w:suppressLineNumbers w:val="0"/>
                    <w:jc w:val="center"/>
                    <w:textAlignment w:val="center"/>
                    <w:rPr>
                      <w:rFonts w:hint="default" w:ascii="Times New Roman" w:hAnsi="Times New Roman" w:cs="Times New Roman"/>
                      <w:b w:val="0"/>
                      <w:bCs w:val="0"/>
                      <w:lang w:val="en-US" w:eastAsia="zh-CN"/>
                    </w:rPr>
                  </w:pPr>
                  <w:r>
                    <w:rPr>
                      <w:rFonts w:hint="eastAsia" w:cs="Times New Roman"/>
                      <w:color w:val="auto"/>
                      <w:sz w:val="24"/>
                      <w:szCs w:val="24"/>
                      <w:highlight w:val="none"/>
                      <w:lang w:val="en-US" w:eastAsia="zh-CN"/>
                    </w:rPr>
                    <w:t>***</w:t>
                  </w:r>
                </w:p>
              </w:tc>
              <w:tc>
                <w:tcPr>
                  <w:tcW w:w="465" w:type="pct"/>
                  <w:vMerge w:val="continue"/>
                  <w:noWrap/>
                  <w:vAlign w:val="center"/>
                </w:tcPr>
                <w:p w14:paraId="1F899910">
                  <w:pPr>
                    <w:jc w:val="center"/>
                    <w:rPr>
                      <w:rFonts w:hint="default" w:ascii="Times New Roman" w:hAnsi="Times New Roman" w:cs="Times New Roman"/>
                      <w:b w:val="0"/>
                      <w:bCs w:val="0"/>
                    </w:rPr>
                  </w:pPr>
                </w:p>
              </w:tc>
              <w:tc>
                <w:tcPr>
                  <w:tcW w:w="417" w:type="pct"/>
                  <w:vMerge w:val="continue"/>
                  <w:noWrap/>
                  <w:vAlign w:val="center"/>
                </w:tcPr>
                <w:p w14:paraId="11C90134">
                  <w:pPr>
                    <w:jc w:val="center"/>
                    <w:rPr>
                      <w:rFonts w:hint="default" w:ascii="Times New Roman" w:hAnsi="Times New Roman" w:eastAsia="宋体" w:cs="Times New Roman"/>
                      <w:b w:val="0"/>
                      <w:bCs w:val="0"/>
                      <w:lang w:val="en-US" w:eastAsia="zh-CN"/>
                    </w:rPr>
                  </w:pPr>
                </w:p>
              </w:tc>
              <w:tc>
                <w:tcPr>
                  <w:tcW w:w="443" w:type="pct"/>
                  <w:noWrap/>
                  <w:vAlign w:val="center"/>
                </w:tcPr>
                <w:p w14:paraId="51648B3B">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443" w:type="pct"/>
                  <w:noWrap/>
                  <w:vAlign w:val="center"/>
                </w:tcPr>
                <w:p w14:paraId="34C23B8B">
                  <w:pPr>
                    <w:keepNext w:val="0"/>
                    <w:keepLines w:val="0"/>
                    <w:widowControl/>
                    <w:suppressLineNumbers w:val="0"/>
                    <w:jc w:val="center"/>
                    <w:textAlignment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502" w:type="pct"/>
                  <w:noWrap/>
                  <w:vAlign w:val="center"/>
                </w:tcPr>
                <w:p w14:paraId="66548D57">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cs="Times New Roman"/>
                      <w:b w:val="0"/>
                      <w:bCs w:val="0"/>
                      <w:lang w:val="en-US" w:eastAsia="zh-CN"/>
                    </w:rPr>
                    <w:t>/</w:t>
                  </w:r>
                </w:p>
              </w:tc>
              <w:tc>
                <w:tcPr>
                  <w:tcW w:w="501" w:type="pct"/>
                  <w:noWrap/>
                  <w:vAlign w:val="center"/>
                </w:tcPr>
                <w:p w14:paraId="56B5CEEA">
                  <w:pPr>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w:t>
                  </w:r>
                </w:p>
              </w:tc>
              <w:tc>
                <w:tcPr>
                  <w:tcW w:w="344" w:type="pct"/>
                  <w:vMerge w:val="continue"/>
                  <w:noWrap/>
                  <w:vAlign w:val="center"/>
                </w:tcPr>
                <w:p w14:paraId="362758BB">
                  <w:pPr>
                    <w:jc w:val="center"/>
                    <w:rPr>
                      <w:rFonts w:hint="default" w:ascii="Times New Roman" w:hAnsi="Times New Roman" w:cs="Times New Roman"/>
                      <w:b w:val="0"/>
                      <w:bCs w:val="0"/>
                    </w:rPr>
                  </w:pPr>
                </w:p>
              </w:tc>
            </w:tr>
            <w:tr w14:paraId="1D02E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restart"/>
                  <w:shd w:val="clear" w:color="auto" w:fill="auto"/>
                  <w:noWrap/>
                  <w:vAlign w:val="center"/>
                </w:tcPr>
                <w:p w14:paraId="799F55B9">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rPr>
                    <w:t>生活污水</w:t>
                  </w:r>
                </w:p>
              </w:tc>
              <w:tc>
                <w:tcPr>
                  <w:tcW w:w="364" w:type="pct"/>
                  <w:vMerge w:val="restart"/>
                  <w:shd w:val="clear" w:color="auto" w:fill="auto"/>
                  <w:noWrap/>
                  <w:vAlign w:val="center"/>
                </w:tcPr>
                <w:p w14:paraId="70A8A5F2">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1800</w:t>
                  </w:r>
                </w:p>
              </w:tc>
              <w:tc>
                <w:tcPr>
                  <w:tcW w:w="433" w:type="pct"/>
                  <w:shd w:val="clear" w:color="auto" w:fill="auto"/>
                  <w:noWrap/>
                  <w:vAlign w:val="center"/>
                </w:tcPr>
                <w:p w14:paraId="10F32BFA">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COD</w:t>
                  </w:r>
                </w:p>
              </w:tc>
              <w:tc>
                <w:tcPr>
                  <w:tcW w:w="375" w:type="pct"/>
                  <w:shd w:val="clear" w:color="auto" w:fill="auto"/>
                  <w:noWrap/>
                  <w:vAlign w:val="center"/>
                </w:tcPr>
                <w:p w14:paraId="5BEAE16C">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5CD6D0A3">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restart"/>
                  <w:shd w:val="clear" w:color="auto" w:fill="auto"/>
                  <w:noWrap/>
                  <w:vAlign w:val="center"/>
                </w:tcPr>
                <w:p w14:paraId="380EE657">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隔油池+化粪池</w:t>
                  </w:r>
                </w:p>
              </w:tc>
              <w:tc>
                <w:tcPr>
                  <w:tcW w:w="417" w:type="pct"/>
                  <w:vMerge w:val="restart"/>
                  <w:shd w:val="clear" w:color="auto" w:fill="auto"/>
                  <w:noWrap/>
                  <w:vAlign w:val="center"/>
                </w:tcPr>
                <w:p w14:paraId="2EA76B60">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kern w:val="2"/>
                      <w:sz w:val="21"/>
                      <w:szCs w:val="24"/>
                      <w:lang w:val="en-US" w:eastAsia="zh-CN" w:bidi="ar-SA"/>
                    </w:rPr>
                    <w:t>2340</w:t>
                  </w:r>
                </w:p>
              </w:tc>
              <w:tc>
                <w:tcPr>
                  <w:tcW w:w="443" w:type="pct"/>
                  <w:shd w:val="clear" w:color="auto" w:fill="auto"/>
                  <w:noWrap/>
                  <w:vAlign w:val="center"/>
                </w:tcPr>
                <w:p w14:paraId="67CF1E8F">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COD</w:t>
                  </w:r>
                </w:p>
              </w:tc>
              <w:tc>
                <w:tcPr>
                  <w:tcW w:w="443" w:type="pct"/>
                  <w:shd w:val="clear" w:color="auto" w:fill="auto"/>
                  <w:noWrap/>
                  <w:vAlign w:val="center"/>
                </w:tcPr>
                <w:p w14:paraId="0FD4483E">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2" w:type="pct"/>
                  <w:shd w:val="clear" w:color="auto" w:fill="auto"/>
                  <w:noWrap/>
                  <w:vAlign w:val="center"/>
                </w:tcPr>
                <w:p w14:paraId="5DE42267">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1" w:type="pct"/>
                  <w:shd w:val="clear" w:color="auto" w:fill="auto"/>
                  <w:noWrap/>
                  <w:vAlign w:val="center"/>
                </w:tcPr>
                <w:p w14:paraId="1408A5E2">
                  <w:pPr>
                    <w:jc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344" w:type="pct"/>
                  <w:vMerge w:val="continue"/>
                  <w:noWrap/>
                  <w:vAlign w:val="center"/>
                </w:tcPr>
                <w:p w14:paraId="2AD08820">
                  <w:pPr>
                    <w:jc w:val="center"/>
                    <w:rPr>
                      <w:rFonts w:hint="default" w:ascii="Times New Roman" w:hAnsi="Times New Roman" w:cs="Times New Roman"/>
                      <w:b w:val="0"/>
                      <w:bCs w:val="0"/>
                    </w:rPr>
                  </w:pPr>
                </w:p>
              </w:tc>
            </w:tr>
            <w:tr w14:paraId="390D6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shd w:val="clear" w:color="auto" w:fill="auto"/>
                  <w:noWrap/>
                  <w:vAlign w:val="center"/>
                </w:tcPr>
                <w:p w14:paraId="14B8F2FD">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164E9780">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6016B6D4">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SS</w:t>
                  </w:r>
                </w:p>
              </w:tc>
              <w:tc>
                <w:tcPr>
                  <w:tcW w:w="375" w:type="pct"/>
                  <w:shd w:val="clear" w:color="auto" w:fill="auto"/>
                  <w:noWrap/>
                  <w:vAlign w:val="center"/>
                </w:tcPr>
                <w:p w14:paraId="6270DF18">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1F2B9421">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65DE8BDB">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25A8308B">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405B121F">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SS</w:t>
                  </w:r>
                </w:p>
              </w:tc>
              <w:tc>
                <w:tcPr>
                  <w:tcW w:w="443" w:type="pct"/>
                  <w:shd w:val="clear" w:color="auto" w:fill="auto"/>
                  <w:noWrap/>
                  <w:vAlign w:val="center"/>
                </w:tcPr>
                <w:p w14:paraId="00D31000">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2" w:type="pct"/>
                  <w:shd w:val="clear" w:color="auto" w:fill="auto"/>
                  <w:noWrap/>
                  <w:vAlign w:val="center"/>
                </w:tcPr>
                <w:p w14:paraId="3C197038">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1" w:type="pct"/>
                  <w:shd w:val="clear" w:color="auto" w:fill="auto"/>
                  <w:noWrap/>
                  <w:vAlign w:val="center"/>
                </w:tcPr>
                <w:p w14:paraId="36F2F23B">
                  <w:pPr>
                    <w:jc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344" w:type="pct"/>
                  <w:vMerge w:val="continue"/>
                  <w:noWrap/>
                  <w:vAlign w:val="center"/>
                </w:tcPr>
                <w:p w14:paraId="2143973B">
                  <w:pPr>
                    <w:jc w:val="center"/>
                    <w:rPr>
                      <w:rFonts w:hint="default" w:ascii="Times New Roman" w:hAnsi="Times New Roman" w:cs="Times New Roman"/>
                      <w:b w:val="0"/>
                      <w:bCs w:val="0"/>
                    </w:rPr>
                  </w:pPr>
                </w:p>
              </w:tc>
            </w:tr>
            <w:tr w14:paraId="6E185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shd w:val="clear" w:color="auto" w:fill="auto"/>
                  <w:noWrap/>
                  <w:vAlign w:val="center"/>
                </w:tcPr>
                <w:p w14:paraId="51EBCEBD">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5E670904">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31D1CEEC">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NH</w:t>
                  </w:r>
                  <w:r>
                    <w:rPr>
                      <w:rFonts w:hint="default" w:ascii="Times New Roman" w:hAnsi="Times New Roman" w:cs="Times New Roman"/>
                      <w:b w:val="0"/>
                      <w:bCs w:val="0"/>
                      <w:color w:val="auto"/>
                      <w:highlight w:val="none"/>
                      <w:vertAlign w:val="subscript"/>
                    </w:rPr>
                    <w:t>3</w:t>
                  </w:r>
                  <w:r>
                    <w:rPr>
                      <w:rFonts w:hint="default" w:ascii="Times New Roman" w:hAnsi="Times New Roman" w:cs="Times New Roman"/>
                      <w:b w:val="0"/>
                      <w:bCs w:val="0"/>
                      <w:color w:val="auto"/>
                      <w:highlight w:val="none"/>
                    </w:rPr>
                    <w:t>-N</w:t>
                  </w:r>
                </w:p>
              </w:tc>
              <w:tc>
                <w:tcPr>
                  <w:tcW w:w="375" w:type="pct"/>
                  <w:shd w:val="clear" w:color="auto" w:fill="auto"/>
                  <w:noWrap/>
                  <w:vAlign w:val="center"/>
                </w:tcPr>
                <w:p w14:paraId="58FBFFDC">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569389BD">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75180A4C">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3650025E">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36779442">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NH</w:t>
                  </w:r>
                  <w:r>
                    <w:rPr>
                      <w:rFonts w:hint="default" w:ascii="Times New Roman" w:hAnsi="Times New Roman" w:cs="Times New Roman"/>
                      <w:b w:val="0"/>
                      <w:bCs w:val="0"/>
                      <w:color w:val="auto"/>
                      <w:highlight w:val="none"/>
                      <w:vertAlign w:val="subscript"/>
                    </w:rPr>
                    <w:t>3</w:t>
                  </w:r>
                  <w:r>
                    <w:rPr>
                      <w:rFonts w:hint="default" w:ascii="Times New Roman" w:hAnsi="Times New Roman" w:cs="Times New Roman"/>
                      <w:b w:val="0"/>
                      <w:bCs w:val="0"/>
                      <w:color w:val="auto"/>
                      <w:highlight w:val="none"/>
                    </w:rPr>
                    <w:t>-N</w:t>
                  </w:r>
                </w:p>
              </w:tc>
              <w:tc>
                <w:tcPr>
                  <w:tcW w:w="443" w:type="pct"/>
                  <w:shd w:val="clear" w:color="auto" w:fill="auto"/>
                  <w:noWrap/>
                  <w:vAlign w:val="center"/>
                </w:tcPr>
                <w:p w14:paraId="247F8617">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2" w:type="pct"/>
                  <w:shd w:val="clear" w:color="auto" w:fill="auto"/>
                  <w:noWrap/>
                  <w:vAlign w:val="center"/>
                </w:tcPr>
                <w:p w14:paraId="4B47D93A">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1" w:type="pct"/>
                  <w:shd w:val="clear" w:color="auto" w:fill="auto"/>
                  <w:noWrap/>
                  <w:vAlign w:val="center"/>
                </w:tcPr>
                <w:p w14:paraId="1E655ABE">
                  <w:pPr>
                    <w:jc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344" w:type="pct"/>
                  <w:vMerge w:val="continue"/>
                  <w:noWrap/>
                  <w:vAlign w:val="center"/>
                </w:tcPr>
                <w:p w14:paraId="3156E83E">
                  <w:pPr>
                    <w:jc w:val="center"/>
                    <w:rPr>
                      <w:rFonts w:hint="default" w:ascii="Times New Roman" w:hAnsi="Times New Roman" w:cs="Times New Roman"/>
                      <w:b w:val="0"/>
                      <w:bCs w:val="0"/>
                    </w:rPr>
                  </w:pPr>
                </w:p>
              </w:tc>
            </w:tr>
            <w:tr w14:paraId="6C987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shd w:val="clear" w:color="auto" w:fill="auto"/>
                  <w:noWrap/>
                  <w:vAlign w:val="center"/>
                </w:tcPr>
                <w:p w14:paraId="368F8529">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3AF44E89">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4975B30A">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TP</w:t>
                  </w:r>
                </w:p>
              </w:tc>
              <w:tc>
                <w:tcPr>
                  <w:tcW w:w="375" w:type="pct"/>
                  <w:shd w:val="clear" w:color="auto" w:fill="auto"/>
                  <w:noWrap/>
                  <w:vAlign w:val="center"/>
                </w:tcPr>
                <w:p w14:paraId="4362553C">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2E6CA707">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19509548">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437BA78C">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79D78F21">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TP</w:t>
                  </w:r>
                </w:p>
              </w:tc>
              <w:tc>
                <w:tcPr>
                  <w:tcW w:w="443" w:type="pct"/>
                  <w:shd w:val="clear" w:color="auto" w:fill="auto"/>
                  <w:noWrap/>
                  <w:vAlign w:val="center"/>
                </w:tcPr>
                <w:p w14:paraId="5D9AED0E">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2" w:type="pct"/>
                  <w:shd w:val="clear" w:color="auto" w:fill="auto"/>
                  <w:noWrap/>
                  <w:vAlign w:val="center"/>
                </w:tcPr>
                <w:p w14:paraId="1B852CE5">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1" w:type="pct"/>
                  <w:shd w:val="clear" w:color="auto" w:fill="auto"/>
                  <w:noWrap/>
                  <w:vAlign w:val="center"/>
                </w:tcPr>
                <w:p w14:paraId="5F181BDD">
                  <w:pPr>
                    <w:jc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344" w:type="pct"/>
                  <w:vMerge w:val="continue"/>
                  <w:noWrap/>
                  <w:vAlign w:val="center"/>
                </w:tcPr>
                <w:p w14:paraId="3AF1E2D9">
                  <w:pPr>
                    <w:jc w:val="center"/>
                    <w:rPr>
                      <w:rFonts w:hint="default" w:ascii="Times New Roman" w:hAnsi="Times New Roman" w:cs="Times New Roman"/>
                      <w:b w:val="0"/>
                      <w:bCs w:val="0"/>
                    </w:rPr>
                  </w:pPr>
                </w:p>
              </w:tc>
            </w:tr>
            <w:tr w14:paraId="7897F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0" w:type="pct"/>
                  <w:vMerge w:val="continue"/>
                  <w:shd w:val="clear" w:color="auto" w:fill="auto"/>
                  <w:noWrap/>
                  <w:vAlign w:val="center"/>
                </w:tcPr>
                <w:p w14:paraId="3051908C">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44230A53">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0F4FE63A">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TN</w:t>
                  </w:r>
                </w:p>
              </w:tc>
              <w:tc>
                <w:tcPr>
                  <w:tcW w:w="375" w:type="pct"/>
                  <w:shd w:val="clear" w:color="auto" w:fill="auto"/>
                  <w:noWrap/>
                  <w:vAlign w:val="center"/>
                </w:tcPr>
                <w:p w14:paraId="073FEAE8">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3A2383B9">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7F8127F2">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18E663A8">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5989D781">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TN</w:t>
                  </w:r>
                </w:p>
              </w:tc>
              <w:tc>
                <w:tcPr>
                  <w:tcW w:w="443" w:type="pct"/>
                  <w:shd w:val="clear" w:color="auto" w:fill="auto"/>
                  <w:noWrap/>
                  <w:vAlign w:val="center"/>
                </w:tcPr>
                <w:p w14:paraId="181D67E7">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2" w:type="pct"/>
                  <w:shd w:val="clear" w:color="auto" w:fill="auto"/>
                  <w:noWrap/>
                  <w:vAlign w:val="center"/>
                </w:tcPr>
                <w:p w14:paraId="3B27BBF2">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1" w:type="pct"/>
                  <w:shd w:val="clear" w:color="auto" w:fill="auto"/>
                  <w:noWrap/>
                  <w:vAlign w:val="center"/>
                </w:tcPr>
                <w:p w14:paraId="7E620123">
                  <w:pPr>
                    <w:jc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344" w:type="pct"/>
                  <w:vMerge w:val="continue"/>
                  <w:noWrap/>
                  <w:vAlign w:val="center"/>
                </w:tcPr>
                <w:p w14:paraId="10D28DD5">
                  <w:pPr>
                    <w:jc w:val="center"/>
                    <w:rPr>
                      <w:rFonts w:hint="default" w:ascii="Times New Roman" w:hAnsi="Times New Roman" w:cs="Times New Roman"/>
                      <w:b w:val="0"/>
                      <w:bCs w:val="0"/>
                    </w:rPr>
                  </w:pPr>
                </w:p>
              </w:tc>
            </w:tr>
            <w:tr w14:paraId="453C5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20" w:type="pct"/>
                  <w:vMerge w:val="restart"/>
                  <w:shd w:val="clear" w:color="auto" w:fill="auto"/>
                  <w:noWrap/>
                  <w:vAlign w:val="center"/>
                </w:tcPr>
                <w:p w14:paraId="77EF93CF">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rPr>
                    <w:t>食堂废水</w:t>
                  </w:r>
                </w:p>
              </w:tc>
              <w:tc>
                <w:tcPr>
                  <w:tcW w:w="364" w:type="pct"/>
                  <w:vMerge w:val="restart"/>
                  <w:shd w:val="clear" w:color="auto" w:fill="auto"/>
                  <w:noWrap/>
                  <w:vAlign w:val="center"/>
                </w:tcPr>
                <w:p w14:paraId="3D06631C">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rPr>
                    <w:t>540</w:t>
                  </w:r>
                </w:p>
              </w:tc>
              <w:tc>
                <w:tcPr>
                  <w:tcW w:w="433" w:type="pct"/>
                  <w:shd w:val="clear" w:color="auto" w:fill="auto"/>
                  <w:noWrap/>
                  <w:vAlign w:val="center"/>
                </w:tcPr>
                <w:p w14:paraId="39150D34">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COD</w:t>
                  </w:r>
                </w:p>
              </w:tc>
              <w:tc>
                <w:tcPr>
                  <w:tcW w:w="375" w:type="pct"/>
                  <w:shd w:val="clear" w:color="auto" w:fill="auto"/>
                  <w:noWrap/>
                  <w:vAlign w:val="center"/>
                </w:tcPr>
                <w:p w14:paraId="77A84A2C">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0E32625D">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3DF43E4F">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5E074333">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57A9E7F3">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动植物油</w:t>
                  </w:r>
                </w:p>
              </w:tc>
              <w:tc>
                <w:tcPr>
                  <w:tcW w:w="443" w:type="pct"/>
                  <w:shd w:val="clear" w:color="auto" w:fill="auto"/>
                  <w:noWrap/>
                  <w:vAlign w:val="center"/>
                </w:tcPr>
                <w:p w14:paraId="2C3428C0">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2" w:type="pct"/>
                  <w:shd w:val="clear" w:color="auto" w:fill="auto"/>
                  <w:noWrap/>
                  <w:vAlign w:val="center"/>
                </w:tcPr>
                <w:p w14:paraId="680C0E90">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501" w:type="pct"/>
                  <w:shd w:val="clear" w:color="auto" w:fill="auto"/>
                  <w:noWrap/>
                  <w:vAlign w:val="center"/>
                </w:tcPr>
                <w:p w14:paraId="319788B9">
                  <w:pPr>
                    <w:jc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344" w:type="pct"/>
                  <w:vMerge w:val="continue"/>
                  <w:noWrap/>
                  <w:vAlign w:val="center"/>
                </w:tcPr>
                <w:p w14:paraId="1D64F5F4">
                  <w:pPr>
                    <w:jc w:val="center"/>
                    <w:rPr>
                      <w:rFonts w:hint="default" w:ascii="Times New Roman" w:hAnsi="Times New Roman" w:cs="Times New Roman"/>
                      <w:b w:val="0"/>
                      <w:bCs w:val="0"/>
                    </w:rPr>
                  </w:pPr>
                </w:p>
              </w:tc>
            </w:tr>
            <w:tr w14:paraId="7B6AF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shd w:val="clear" w:color="auto" w:fill="auto"/>
                  <w:noWrap/>
                  <w:vAlign w:val="center"/>
                </w:tcPr>
                <w:p w14:paraId="36B564BB">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67E6350B">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058DE26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SS</w:t>
                  </w:r>
                </w:p>
              </w:tc>
              <w:tc>
                <w:tcPr>
                  <w:tcW w:w="375" w:type="pct"/>
                  <w:shd w:val="clear" w:color="auto" w:fill="auto"/>
                  <w:noWrap/>
                  <w:vAlign w:val="center"/>
                </w:tcPr>
                <w:p w14:paraId="2F33697A">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626241EA">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6E878A9E">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60DDBCB8">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359DB94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443" w:type="pct"/>
                  <w:shd w:val="clear" w:color="auto" w:fill="auto"/>
                  <w:noWrap/>
                  <w:vAlign w:val="center"/>
                </w:tcPr>
                <w:p w14:paraId="7ED9E235">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2" w:type="pct"/>
                  <w:shd w:val="clear" w:color="auto" w:fill="auto"/>
                  <w:noWrap/>
                  <w:vAlign w:val="center"/>
                </w:tcPr>
                <w:p w14:paraId="07C81068">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1" w:type="pct"/>
                  <w:shd w:val="clear" w:color="auto" w:fill="auto"/>
                  <w:noWrap/>
                  <w:vAlign w:val="center"/>
                </w:tcPr>
                <w:p w14:paraId="212A10B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344" w:type="pct"/>
                  <w:vMerge w:val="continue"/>
                  <w:noWrap/>
                  <w:vAlign w:val="center"/>
                </w:tcPr>
                <w:p w14:paraId="65D01964">
                  <w:pPr>
                    <w:jc w:val="center"/>
                    <w:rPr>
                      <w:rFonts w:hint="default" w:ascii="Times New Roman" w:hAnsi="Times New Roman" w:cs="Times New Roman"/>
                      <w:b w:val="0"/>
                      <w:bCs w:val="0"/>
                    </w:rPr>
                  </w:pPr>
                </w:p>
              </w:tc>
            </w:tr>
            <w:tr w14:paraId="46266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shd w:val="clear" w:color="auto" w:fill="auto"/>
                  <w:noWrap/>
                  <w:vAlign w:val="center"/>
                </w:tcPr>
                <w:p w14:paraId="512592C6">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297C93AB">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2B39C384">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NH</w:t>
                  </w:r>
                  <w:r>
                    <w:rPr>
                      <w:rFonts w:hint="default" w:ascii="Times New Roman" w:hAnsi="Times New Roman" w:cs="Times New Roman"/>
                      <w:b w:val="0"/>
                      <w:bCs w:val="0"/>
                      <w:color w:val="auto"/>
                      <w:highlight w:val="none"/>
                      <w:vertAlign w:val="subscript"/>
                    </w:rPr>
                    <w:t>3</w:t>
                  </w:r>
                  <w:r>
                    <w:rPr>
                      <w:rFonts w:hint="default" w:ascii="Times New Roman" w:hAnsi="Times New Roman" w:cs="Times New Roman"/>
                      <w:b w:val="0"/>
                      <w:bCs w:val="0"/>
                      <w:color w:val="auto"/>
                      <w:highlight w:val="none"/>
                    </w:rPr>
                    <w:t>-N</w:t>
                  </w:r>
                </w:p>
              </w:tc>
              <w:tc>
                <w:tcPr>
                  <w:tcW w:w="375" w:type="pct"/>
                  <w:shd w:val="clear" w:color="auto" w:fill="auto"/>
                  <w:noWrap/>
                  <w:vAlign w:val="center"/>
                </w:tcPr>
                <w:p w14:paraId="620E61DD">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5CCD3CFD">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48A9B0B8">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30ED5185">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1B5D2A85">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443" w:type="pct"/>
                  <w:shd w:val="clear" w:color="auto" w:fill="auto"/>
                  <w:noWrap/>
                  <w:vAlign w:val="center"/>
                </w:tcPr>
                <w:p w14:paraId="6034E391">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2" w:type="pct"/>
                  <w:shd w:val="clear" w:color="auto" w:fill="auto"/>
                  <w:noWrap/>
                  <w:vAlign w:val="center"/>
                </w:tcPr>
                <w:p w14:paraId="680B14CE">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1" w:type="pct"/>
                  <w:shd w:val="clear" w:color="auto" w:fill="auto"/>
                  <w:noWrap/>
                  <w:vAlign w:val="center"/>
                </w:tcPr>
                <w:p w14:paraId="0C2A089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344" w:type="pct"/>
                  <w:vMerge w:val="continue"/>
                  <w:noWrap/>
                  <w:vAlign w:val="center"/>
                </w:tcPr>
                <w:p w14:paraId="439855F5">
                  <w:pPr>
                    <w:jc w:val="center"/>
                    <w:rPr>
                      <w:rFonts w:hint="default" w:ascii="Times New Roman" w:hAnsi="Times New Roman" w:cs="Times New Roman"/>
                      <w:b w:val="0"/>
                      <w:bCs w:val="0"/>
                    </w:rPr>
                  </w:pPr>
                </w:p>
              </w:tc>
            </w:tr>
            <w:tr w14:paraId="6BDF5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Merge w:val="continue"/>
                  <w:shd w:val="clear" w:color="auto" w:fill="auto"/>
                  <w:noWrap/>
                  <w:vAlign w:val="center"/>
                </w:tcPr>
                <w:p w14:paraId="4B632338">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354AF69B">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17E37B4B">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TP</w:t>
                  </w:r>
                </w:p>
              </w:tc>
              <w:tc>
                <w:tcPr>
                  <w:tcW w:w="375" w:type="pct"/>
                  <w:shd w:val="clear" w:color="auto" w:fill="auto"/>
                  <w:noWrap/>
                  <w:vAlign w:val="center"/>
                </w:tcPr>
                <w:p w14:paraId="0CFD9DB4">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7897B15E">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6E7C5F14">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34586CE4">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3F562C96">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443" w:type="pct"/>
                  <w:shd w:val="clear" w:color="auto" w:fill="auto"/>
                  <w:noWrap/>
                  <w:vAlign w:val="center"/>
                </w:tcPr>
                <w:p w14:paraId="67F95473">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2" w:type="pct"/>
                  <w:shd w:val="clear" w:color="auto" w:fill="auto"/>
                  <w:noWrap/>
                  <w:vAlign w:val="center"/>
                </w:tcPr>
                <w:p w14:paraId="6329B770">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1" w:type="pct"/>
                  <w:shd w:val="clear" w:color="auto" w:fill="auto"/>
                  <w:noWrap/>
                  <w:vAlign w:val="center"/>
                </w:tcPr>
                <w:p w14:paraId="526F2099">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344" w:type="pct"/>
                  <w:vMerge w:val="continue"/>
                  <w:noWrap/>
                  <w:vAlign w:val="center"/>
                </w:tcPr>
                <w:p w14:paraId="064D1016">
                  <w:pPr>
                    <w:jc w:val="center"/>
                    <w:rPr>
                      <w:rFonts w:hint="default" w:ascii="Times New Roman" w:hAnsi="Times New Roman" w:cs="Times New Roman"/>
                      <w:b w:val="0"/>
                      <w:bCs w:val="0"/>
                    </w:rPr>
                  </w:pPr>
                </w:p>
              </w:tc>
            </w:tr>
            <w:tr w14:paraId="329CD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20" w:type="pct"/>
                  <w:vMerge w:val="continue"/>
                  <w:shd w:val="clear" w:color="auto" w:fill="auto"/>
                  <w:noWrap/>
                  <w:vAlign w:val="center"/>
                </w:tcPr>
                <w:p w14:paraId="72E81F8C">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4E0F391E">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390F061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TN</w:t>
                  </w:r>
                </w:p>
              </w:tc>
              <w:tc>
                <w:tcPr>
                  <w:tcW w:w="375" w:type="pct"/>
                  <w:shd w:val="clear" w:color="auto" w:fill="auto"/>
                  <w:noWrap/>
                  <w:vAlign w:val="center"/>
                </w:tcPr>
                <w:p w14:paraId="1069AA87">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40BFAE6C">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1493339D">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6E2FC15C">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3919D085">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443" w:type="pct"/>
                  <w:shd w:val="clear" w:color="auto" w:fill="auto"/>
                  <w:noWrap/>
                  <w:vAlign w:val="center"/>
                </w:tcPr>
                <w:p w14:paraId="2E615FF3">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2" w:type="pct"/>
                  <w:shd w:val="clear" w:color="auto" w:fill="auto"/>
                  <w:noWrap/>
                  <w:vAlign w:val="center"/>
                </w:tcPr>
                <w:p w14:paraId="68AABAC0">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1" w:type="pct"/>
                  <w:shd w:val="clear" w:color="auto" w:fill="auto"/>
                  <w:noWrap/>
                  <w:vAlign w:val="center"/>
                </w:tcPr>
                <w:p w14:paraId="78CB50E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344" w:type="pct"/>
                  <w:vMerge w:val="continue"/>
                  <w:noWrap/>
                  <w:vAlign w:val="center"/>
                </w:tcPr>
                <w:p w14:paraId="2AEBC979">
                  <w:pPr>
                    <w:jc w:val="center"/>
                    <w:rPr>
                      <w:rFonts w:hint="default" w:ascii="Times New Roman" w:hAnsi="Times New Roman" w:cs="Times New Roman"/>
                      <w:b w:val="0"/>
                      <w:bCs w:val="0"/>
                    </w:rPr>
                  </w:pPr>
                </w:p>
              </w:tc>
            </w:tr>
            <w:tr w14:paraId="6DC43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20" w:type="pct"/>
                  <w:vMerge w:val="continue"/>
                  <w:shd w:val="clear" w:color="auto" w:fill="auto"/>
                  <w:noWrap/>
                  <w:vAlign w:val="center"/>
                </w:tcPr>
                <w:p w14:paraId="360DACCF">
                  <w:pPr>
                    <w:jc w:val="center"/>
                    <w:rPr>
                      <w:rFonts w:hint="default" w:ascii="Times New Roman" w:hAnsi="Times New Roman" w:eastAsia="宋体" w:cs="Times New Roman"/>
                      <w:b w:val="0"/>
                      <w:bCs w:val="0"/>
                      <w:kern w:val="2"/>
                      <w:sz w:val="21"/>
                      <w:szCs w:val="24"/>
                      <w:lang w:val="en-US" w:eastAsia="zh-CN" w:bidi="ar-SA"/>
                    </w:rPr>
                  </w:pPr>
                </w:p>
              </w:tc>
              <w:tc>
                <w:tcPr>
                  <w:tcW w:w="364" w:type="pct"/>
                  <w:vMerge w:val="continue"/>
                  <w:shd w:val="clear" w:color="auto" w:fill="auto"/>
                  <w:noWrap/>
                  <w:vAlign w:val="center"/>
                </w:tcPr>
                <w:p w14:paraId="07238E80">
                  <w:pPr>
                    <w:jc w:val="center"/>
                    <w:rPr>
                      <w:rFonts w:hint="default" w:ascii="Times New Roman" w:hAnsi="Times New Roman" w:eastAsia="宋体" w:cs="Times New Roman"/>
                      <w:b w:val="0"/>
                      <w:bCs w:val="0"/>
                      <w:kern w:val="2"/>
                      <w:sz w:val="21"/>
                      <w:szCs w:val="24"/>
                      <w:lang w:val="en-US" w:eastAsia="zh-CN" w:bidi="ar-SA"/>
                    </w:rPr>
                  </w:pPr>
                </w:p>
              </w:tc>
              <w:tc>
                <w:tcPr>
                  <w:tcW w:w="433" w:type="pct"/>
                  <w:shd w:val="clear" w:color="auto" w:fill="auto"/>
                  <w:noWrap/>
                  <w:vAlign w:val="center"/>
                </w:tcPr>
                <w:p w14:paraId="706CB3D1">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color w:val="auto"/>
                      <w:highlight w:val="none"/>
                    </w:rPr>
                    <w:t>动植物油</w:t>
                  </w:r>
                </w:p>
              </w:tc>
              <w:tc>
                <w:tcPr>
                  <w:tcW w:w="375" w:type="pct"/>
                  <w:shd w:val="clear" w:color="auto" w:fill="auto"/>
                  <w:noWrap/>
                  <w:vAlign w:val="center"/>
                </w:tcPr>
                <w:p w14:paraId="29EE24EE">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287" w:type="pct"/>
                  <w:shd w:val="clear" w:color="auto" w:fill="auto"/>
                  <w:noWrap/>
                  <w:vAlign w:val="center"/>
                </w:tcPr>
                <w:p w14:paraId="38738125">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eastAsia" w:cs="Times New Roman"/>
                      <w:color w:val="auto"/>
                      <w:sz w:val="24"/>
                      <w:szCs w:val="24"/>
                      <w:highlight w:val="none"/>
                      <w:lang w:val="en-US" w:eastAsia="zh-CN"/>
                    </w:rPr>
                    <w:t>***</w:t>
                  </w:r>
                </w:p>
              </w:tc>
              <w:tc>
                <w:tcPr>
                  <w:tcW w:w="465" w:type="pct"/>
                  <w:vMerge w:val="continue"/>
                  <w:shd w:val="clear" w:color="auto" w:fill="auto"/>
                  <w:noWrap/>
                  <w:vAlign w:val="center"/>
                </w:tcPr>
                <w:p w14:paraId="27283E49">
                  <w:pPr>
                    <w:jc w:val="center"/>
                    <w:rPr>
                      <w:rFonts w:hint="default" w:ascii="Times New Roman" w:hAnsi="Times New Roman" w:eastAsia="宋体" w:cs="Times New Roman"/>
                      <w:b w:val="0"/>
                      <w:bCs w:val="0"/>
                      <w:kern w:val="2"/>
                      <w:sz w:val="21"/>
                      <w:szCs w:val="24"/>
                      <w:lang w:val="en-US" w:eastAsia="zh-CN" w:bidi="ar-SA"/>
                    </w:rPr>
                  </w:pPr>
                </w:p>
              </w:tc>
              <w:tc>
                <w:tcPr>
                  <w:tcW w:w="417" w:type="pct"/>
                  <w:vMerge w:val="continue"/>
                  <w:shd w:val="clear" w:color="auto" w:fill="auto"/>
                  <w:noWrap/>
                  <w:vAlign w:val="center"/>
                </w:tcPr>
                <w:p w14:paraId="601FDA85">
                  <w:pPr>
                    <w:jc w:val="center"/>
                    <w:rPr>
                      <w:rFonts w:hint="default" w:ascii="Times New Roman" w:hAnsi="Times New Roman" w:eastAsia="宋体" w:cs="Times New Roman"/>
                      <w:b w:val="0"/>
                      <w:bCs w:val="0"/>
                      <w:kern w:val="2"/>
                      <w:sz w:val="21"/>
                      <w:szCs w:val="24"/>
                      <w:lang w:val="en-US" w:eastAsia="zh-CN" w:bidi="ar-SA"/>
                    </w:rPr>
                  </w:pPr>
                </w:p>
              </w:tc>
              <w:tc>
                <w:tcPr>
                  <w:tcW w:w="443" w:type="pct"/>
                  <w:shd w:val="clear" w:color="auto" w:fill="auto"/>
                  <w:noWrap/>
                  <w:vAlign w:val="center"/>
                </w:tcPr>
                <w:p w14:paraId="18BEE2A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443" w:type="pct"/>
                  <w:shd w:val="clear" w:color="auto" w:fill="auto"/>
                  <w:noWrap/>
                  <w:vAlign w:val="center"/>
                </w:tcPr>
                <w:p w14:paraId="75FC1560">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2" w:type="pct"/>
                  <w:shd w:val="clear" w:color="auto" w:fill="auto"/>
                  <w:noWrap/>
                  <w:vAlign w:val="center"/>
                </w:tcPr>
                <w:p w14:paraId="69005797">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501" w:type="pct"/>
                  <w:shd w:val="clear" w:color="auto" w:fill="auto"/>
                  <w:noWrap/>
                  <w:vAlign w:val="center"/>
                </w:tcPr>
                <w:p w14:paraId="0CDC2BE8">
                  <w:pPr>
                    <w:jc w:val="center"/>
                    <w:rPr>
                      <w:rFonts w:hint="default" w:ascii="Times New Roman" w:hAnsi="Times New Roman" w:eastAsia="宋体" w:cs="Times New Roman"/>
                      <w:b w:val="0"/>
                      <w:bCs w:val="0"/>
                      <w:kern w:val="2"/>
                      <w:sz w:val="21"/>
                      <w:szCs w:val="24"/>
                      <w:lang w:val="en-US" w:eastAsia="zh-CN" w:bidi="ar-SA"/>
                    </w:rPr>
                  </w:pPr>
                  <w:r>
                    <w:rPr>
                      <w:rFonts w:hint="default" w:ascii="Times New Roman" w:hAnsi="Times New Roman" w:cs="Times New Roman"/>
                      <w:b w:val="0"/>
                      <w:bCs w:val="0"/>
                      <w:lang w:val="en-US" w:eastAsia="zh-CN"/>
                    </w:rPr>
                    <w:t>/</w:t>
                  </w:r>
                </w:p>
              </w:tc>
              <w:tc>
                <w:tcPr>
                  <w:tcW w:w="344" w:type="pct"/>
                  <w:vMerge w:val="continue"/>
                  <w:noWrap/>
                  <w:vAlign w:val="center"/>
                </w:tcPr>
                <w:p w14:paraId="56B4A559">
                  <w:pPr>
                    <w:jc w:val="center"/>
                    <w:rPr>
                      <w:rFonts w:hint="default" w:ascii="Times New Roman" w:hAnsi="Times New Roman" w:cs="Times New Roman"/>
                      <w:b w:val="0"/>
                      <w:bCs w:val="0"/>
                    </w:rPr>
                  </w:pPr>
                </w:p>
              </w:tc>
            </w:tr>
          </w:tbl>
          <w:p w14:paraId="39FDA0A0">
            <w:pPr>
              <w:adjustRightInd w:val="0"/>
              <w:snapToGrid w:val="0"/>
              <w:spacing w:line="360" w:lineRule="auto"/>
              <w:ind w:firstLine="442" w:firstLineChars="200"/>
              <w:jc w:val="left"/>
              <w:rPr>
                <w:rFonts w:hint="default" w:ascii="Times New Roman" w:hAnsi="Times New Roman" w:cs="Times New Roman"/>
                <w:b/>
                <w:color w:val="auto"/>
                <w:spacing w:val="-10"/>
                <w:sz w:val="24"/>
                <w:highlight w:val="none"/>
              </w:rPr>
            </w:pPr>
            <w:r>
              <w:rPr>
                <w:rFonts w:hint="default" w:ascii="Times New Roman" w:hAnsi="Times New Roman" w:cs="Times New Roman"/>
                <w:b/>
                <w:color w:val="auto"/>
                <w:spacing w:val="-10"/>
                <w:sz w:val="24"/>
                <w:highlight w:val="none"/>
              </w:rPr>
              <w:t>2.2废水控制措施</w:t>
            </w:r>
          </w:p>
          <w:p w14:paraId="7B25A62E">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（1）废水</w:t>
            </w:r>
            <w:r>
              <w:rPr>
                <w:rFonts w:hint="default" w:ascii="Times New Roman" w:hAnsi="Times New Roman" w:cs="Times New Roman"/>
                <w:color w:val="auto"/>
                <w:sz w:val="24"/>
                <w:highlight w:val="none"/>
                <w:lang w:val="en-US" w:eastAsia="zh-CN"/>
              </w:rPr>
              <w:t>接管可行性</w:t>
            </w:r>
            <w:r>
              <w:rPr>
                <w:rFonts w:hint="default" w:ascii="Times New Roman" w:hAnsi="Times New Roman" w:cs="Times New Roman"/>
                <w:color w:val="auto"/>
                <w:sz w:val="24"/>
                <w:highlight w:val="none"/>
              </w:rPr>
              <w:t>分析</w:t>
            </w:r>
          </w:p>
          <w:p w14:paraId="6DC87682">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本项目废水主要为员工生活污水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含食堂废水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冲洗废水、反冲洗废水和纯水制备浓水</w:t>
            </w:r>
            <w:r>
              <w:rPr>
                <w:rFonts w:hint="default" w:ascii="Times New Roman" w:hAnsi="Times New Roman" w:cs="Times New Roman"/>
                <w:color w:val="auto"/>
                <w:sz w:val="24"/>
                <w:highlight w:val="none"/>
              </w:rPr>
              <w:t>。</w:t>
            </w:r>
          </w:p>
          <w:p w14:paraId="4FC68E0B">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六圩污水处理厂简介</w:t>
            </w:r>
          </w:p>
          <w:p w14:paraId="1BA284C3">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根据扬州市污水处理规划，项目所在区域的所有废水由扬州六圩污水处理厂集中处理。六圩污水处理厂一期工程处理能力5万m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/d，2010年10月底，扬州市洁源排水有限公司实施的六圩污水处理厂二期扩建工程建成投运，完善现有截污管网并扩建10万 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/d的污水处理能力，使污水处理厂日处理能力达到15万m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/d，同时对现有的5万m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污水处理工程进行改造，使得现有工程及二期出水水质达到《城镇污水处理厂污染物排放标准》（GB18918-2002）表1中一级A标准。服务范围包括：扬州经济技术开发区、邗江工业园区、新城西区、北洲功能区以及原维扬经济开发区的部分区域等，收水面积约146.26平方公里。</w:t>
            </w:r>
          </w:p>
          <w:p w14:paraId="7F6DBBB4">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B.</w:t>
            </w:r>
            <w:r>
              <w:rPr>
                <w:rFonts w:hint="default" w:ascii="Times New Roman" w:hAnsi="Times New Roman" w:cs="Times New Roman"/>
                <w:color w:val="auto"/>
                <w:sz w:val="24"/>
                <w:highlight w:val="none"/>
              </w:rPr>
              <w:t>接管范围</w:t>
            </w:r>
          </w:p>
          <w:p w14:paraId="29A78390">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项目所在地在六圩污水处理厂的收水范围之内，项目厂区已接通</w:t>
            </w:r>
            <w:r>
              <w:rPr>
                <w:rFonts w:hint="default" w:ascii="Times New Roman" w:hAnsi="Times New Roman" w:cs="Times New Roman"/>
                <w:color w:val="auto"/>
                <w:sz w:val="24"/>
                <w:highlight w:val="none"/>
                <w:lang w:val="en-US" w:eastAsia="zh-CN"/>
              </w:rPr>
              <w:t>六圩</w:t>
            </w:r>
            <w:r>
              <w:rPr>
                <w:rFonts w:hint="default" w:ascii="Times New Roman" w:hAnsi="Times New Roman" w:cs="Times New Roman"/>
                <w:color w:val="auto"/>
                <w:sz w:val="24"/>
                <w:highlight w:val="none"/>
              </w:rPr>
              <w:t>污水</w:t>
            </w:r>
            <w:r>
              <w:rPr>
                <w:rFonts w:hint="default" w:ascii="Times New Roman" w:hAnsi="Times New Roman" w:cs="Times New Roman"/>
                <w:color w:val="auto"/>
                <w:sz w:val="24"/>
                <w:highlight w:val="none"/>
                <w:lang w:val="en-US" w:eastAsia="zh-CN"/>
              </w:rPr>
              <w:t>厂</w:t>
            </w:r>
            <w:r>
              <w:rPr>
                <w:rFonts w:hint="default" w:ascii="Times New Roman" w:hAnsi="Times New Roman" w:cs="Times New Roman"/>
                <w:color w:val="auto"/>
                <w:sz w:val="24"/>
                <w:highlight w:val="none"/>
              </w:rPr>
              <w:t>管网</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见附件</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，因此项目运营后，废水可经园区污水管网排入六圩污水处理厂。</w:t>
            </w:r>
          </w:p>
          <w:p w14:paraId="08BFF9ED">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C.</w:t>
            </w:r>
            <w:r>
              <w:rPr>
                <w:rFonts w:hint="default" w:ascii="Times New Roman" w:hAnsi="Times New Roman" w:cs="Times New Roman"/>
                <w:color w:val="auto"/>
                <w:sz w:val="24"/>
                <w:highlight w:val="none"/>
              </w:rPr>
              <w:t>接管水量</w:t>
            </w:r>
          </w:p>
          <w:p w14:paraId="546983ED">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项目废水排放量约</w:t>
            </w:r>
            <w:r>
              <w:rPr>
                <w:rFonts w:hint="default" w:ascii="Times New Roman" w:hAnsi="Times New Roman" w:cs="Times New Roman"/>
                <w:color w:val="auto"/>
                <w:sz w:val="24"/>
                <w:highlight w:val="none"/>
                <w:lang w:val="en-US" w:eastAsia="zh-CN"/>
              </w:rPr>
              <w:t xml:space="preserve">21174.477 </w:t>
            </w:r>
            <w:r>
              <w:rPr>
                <w:rFonts w:hint="default" w:ascii="Times New Roman" w:hAnsi="Times New Roman" w:cs="Times New Roman"/>
                <w:color w:val="auto"/>
                <w:sz w:val="24"/>
                <w:highlight w:val="none"/>
              </w:rPr>
              <w:t>t/a，六圩污水处理厂处理能力为20万立方米/日，处理效果达到《城镇污水处理厂污染物排放标准》（GB18918-2002）表1中一级A标准后尾水排入京杭大运河。能够满足本项目的废水接管量要求。本项目废水成分简单，不会对污水处理厂的正常运行造成冲击。</w:t>
            </w:r>
          </w:p>
          <w:p w14:paraId="6B773946">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D.</w:t>
            </w:r>
            <w:r>
              <w:rPr>
                <w:rFonts w:hint="default" w:ascii="Times New Roman" w:hAnsi="Times New Roman" w:cs="Times New Roman"/>
                <w:color w:val="auto"/>
                <w:sz w:val="24"/>
                <w:highlight w:val="none"/>
              </w:rPr>
              <w:t>接管水质分析</w:t>
            </w:r>
          </w:p>
          <w:p w14:paraId="3AE291FC">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项目所排污水中主要污染因子为COD、SS、氨氮、总磷、总氮</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动植物油</w:t>
            </w:r>
            <w:r>
              <w:rPr>
                <w:rFonts w:hint="default" w:ascii="Times New Roman" w:hAnsi="Times New Roman" w:cs="Times New Roman"/>
                <w:color w:val="auto"/>
                <w:sz w:val="24"/>
                <w:highlight w:val="none"/>
              </w:rPr>
              <w:t>等因子，水质、水量均符合污水处理厂接管要求，不会对污水处理厂的处理能力和处理效果造成冲击，因而本项目废水接入扬州市六圩污水处理厂集中处理是可行的。</w:t>
            </w:r>
          </w:p>
          <w:p w14:paraId="48819877">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综上所述，项目所排生活污水中主要污染因子为COD、SS、氨氮、总磷、总氮</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动植物油和石油类</w:t>
            </w:r>
            <w:r>
              <w:rPr>
                <w:rFonts w:hint="default" w:ascii="Times New Roman" w:hAnsi="Times New Roman" w:cs="Times New Roman"/>
                <w:color w:val="auto"/>
                <w:sz w:val="24"/>
                <w:highlight w:val="none"/>
              </w:rPr>
              <w:t>等因子，水质、水量均符合污水处理厂接管要求，不会对污水处理厂的处理能力和处理效果造成冲击，本项目废水接入扬州市六圩污水处理厂集中处理是可行的。</w:t>
            </w:r>
          </w:p>
          <w:p w14:paraId="4A75548E">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）监测要求</w:t>
            </w:r>
          </w:p>
          <w:p w14:paraId="32D85F51">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参考《排污单位自行监测技术指南总则》(HJ819-2017)</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b w:val="0"/>
                <w:bCs/>
                <w:color w:val="auto"/>
                <w:spacing w:val="-10"/>
                <w:kern w:val="2"/>
                <w:sz w:val="24"/>
                <w:szCs w:val="24"/>
                <w:highlight w:val="none"/>
                <w:vertAlign w:val="baseline"/>
                <w:lang w:val="en-US" w:eastAsia="zh-CN" w:bidi="ar-SA"/>
              </w:rPr>
              <w:t>《排污单位自行监测技术指南 电池工业》（HJ 1204-2021）</w:t>
            </w:r>
            <w:r>
              <w:rPr>
                <w:rFonts w:hint="default" w:ascii="Times New Roman" w:hAnsi="Times New Roman" w:cs="Times New Roman"/>
                <w:color w:val="auto"/>
                <w:sz w:val="24"/>
                <w:highlight w:val="none"/>
              </w:rPr>
              <w:t>结合企业实际情况，对本项目废水的监测要求见表4.11。</w:t>
            </w:r>
          </w:p>
          <w:p w14:paraId="2812B341">
            <w:pPr>
              <w:pStyle w:val="27"/>
              <w:bidi w:val="0"/>
              <w:rPr>
                <w:rFonts w:hint="default"/>
              </w:rPr>
            </w:pPr>
            <w:r>
              <w:rPr>
                <w:rFonts w:hint="default"/>
              </w:rPr>
              <w:t>表4.1</w:t>
            </w:r>
            <w:r>
              <w:rPr>
                <w:rFonts w:hint="eastAsia"/>
                <w:lang w:val="en-US" w:eastAsia="zh-CN"/>
              </w:rPr>
              <w:t>1</w:t>
            </w:r>
            <w:r>
              <w:rPr>
                <w:rFonts w:hint="default"/>
              </w:rPr>
              <w:t>废水监测计划表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67"/>
              <w:gridCol w:w="2499"/>
              <w:gridCol w:w="1550"/>
              <w:gridCol w:w="1280"/>
            </w:tblGrid>
            <w:tr w14:paraId="75149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7" w:type="dxa"/>
                  <w:vAlign w:val="center"/>
                </w:tcPr>
                <w:p w14:paraId="7334ED1C">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项目</w:t>
                  </w:r>
                </w:p>
              </w:tc>
              <w:tc>
                <w:tcPr>
                  <w:tcW w:w="1567" w:type="dxa"/>
                  <w:vAlign w:val="center"/>
                </w:tcPr>
                <w:p w14:paraId="59FC2590">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监测点位置</w:t>
                  </w:r>
                </w:p>
              </w:tc>
              <w:tc>
                <w:tcPr>
                  <w:tcW w:w="2499" w:type="dxa"/>
                  <w:vAlign w:val="center"/>
                </w:tcPr>
                <w:p w14:paraId="1D297A1A">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监测因子</w:t>
                  </w:r>
                </w:p>
              </w:tc>
              <w:tc>
                <w:tcPr>
                  <w:tcW w:w="1550" w:type="dxa"/>
                  <w:vAlign w:val="center"/>
                </w:tcPr>
                <w:p w14:paraId="7A1F6158">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监测频次</w:t>
                  </w:r>
                </w:p>
              </w:tc>
              <w:tc>
                <w:tcPr>
                  <w:tcW w:w="1280" w:type="dxa"/>
                  <w:vAlign w:val="center"/>
                </w:tcPr>
                <w:p w14:paraId="21B3514E">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依据</w:t>
                  </w:r>
                </w:p>
              </w:tc>
            </w:tr>
            <w:tr w14:paraId="21029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14:paraId="2AC82652">
                  <w:pPr>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snapToGrid w:val="0"/>
                      <w:color w:val="auto"/>
                      <w:kern w:val="0"/>
                      <w:szCs w:val="21"/>
                      <w:highlight w:val="none"/>
                      <w:lang w:val="en-US" w:eastAsia="zh-CN"/>
                    </w:rPr>
                    <w:t>废水</w:t>
                  </w:r>
                </w:p>
              </w:tc>
              <w:tc>
                <w:tcPr>
                  <w:tcW w:w="1567" w:type="dxa"/>
                  <w:vAlign w:val="center"/>
                </w:tcPr>
                <w:p w14:paraId="77929B7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废水排放口</w:t>
                  </w:r>
                </w:p>
              </w:tc>
              <w:tc>
                <w:tcPr>
                  <w:tcW w:w="2499" w:type="dxa"/>
                  <w:vAlign w:val="center"/>
                </w:tcPr>
                <w:p w14:paraId="27F4592F">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pH、COD、SS、氨氮、</w:t>
                  </w:r>
                  <w:r>
                    <w:rPr>
                      <w:rFonts w:hint="default" w:ascii="Times New Roman" w:hAnsi="Times New Roman" w:cs="Times New Roman"/>
                      <w:bCs/>
                      <w:color w:val="auto"/>
                      <w:szCs w:val="21"/>
                      <w:highlight w:val="none"/>
                    </w:rPr>
                    <w:t>TP、NH</w:t>
                  </w:r>
                  <w:r>
                    <w:rPr>
                      <w:rFonts w:hint="default" w:ascii="Times New Roman" w:hAnsi="Times New Roman" w:cs="Times New Roman"/>
                      <w:bCs/>
                      <w:color w:val="auto"/>
                      <w:szCs w:val="21"/>
                      <w:highlight w:val="none"/>
                      <w:vertAlign w:val="subscript"/>
                    </w:rPr>
                    <w:t>3</w:t>
                  </w:r>
                  <w:r>
                    <w:rPr>
                      <w:rFonts w:hint="default" w:ascii="Times New Roman" w:hAnsi="Times New Roman" w:cs="Times New Roman"/>
                      <w:bCs/>
                      <w:color w:val="auto"/>
                      <w:szCs w:val="21"/>
                      <w:highlight w:val="none"/>
                    </w:rPr>
                    <w:t>-N、TN</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lang w:val="en-US" w:eastAsia="zh-CN"/>
                    </w:rPr>
                    <w:t>动植物油、石油类</w:t>
                  </w:r>
                  <w:r>
                    <w:rPr>
                      <w:rFonts w:hint="eastAsia" w:cs="Times New Roman"/>
                      <w:bCs/>
                      <w:color w:val="auto"/>
                      <w:szCs w:val="21"/>
                      <w:highlight w:val="none"/>
                      <w:lang w:val="en-US" w:eastAsia="zh-CN"/>
                    </w:rPr>
                    <w:t>、LAS</w:t>
                  </w:r>
                </w:p>
              </w:tc>
              <w:tc>
                <w:tcPr>
                  <w:tcW w:w="1550" w:type="dxa"/>
                  <w:vAlign w:val="center"/>
                </w:tcPr>
                <w:p w14:paraId="29943157">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1次/季度</w:t>
                  </w:r>
                </w:p>
              </w:tc>
              <w:tc>
                <w:tcPr>
                  <w:tcW w:w="1280" w:type="dxa"/>
                  <w:vAlign w:val="center"/>
                </w:tcPr>
                <w:p w14:paraId="1749F107">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《电池工业污染物排放标准》（GB30484-2013）表2间接排放标准</w:t>
                  </w:r>
                </w:p>
              </w:tc>
            </w:tr>
          </w:tbl>
          <w:p w14:paraId="644F0D2B">
            <w:pPr>
              <w:adjustRightInd w:val="0"/>
              <w:snapToGrid w:val="0"/>
              <w:spacing w:line="360" w:lineRule="auto"/>
              <w:ind w:firstLine="482" w:firstLineChars="200"/>
              <w:jc w:val="left"/>
              <w:rPr>
                <w:rFonts w:hint="default" w:ascii="Times New Roman" w:hAnsi="Times New Roman" w:eastAsia="新宋体" w:cs="Times New Roman"/>
                <w:b/>
                <w:bCs/>
                <w:color w:val="auto"/>
                <w:sz w:val="24"/>
                <w:highlight w:val="none"/>
              </w:rPr>
            </w:pPr>
            <w:r>
              <w:rPr>
                <w:rFonts w:hint="default" w:ascii="Times New Roman" w:hAnsi="Times New Roman" w:eastAsia="新宋体" w:cs="Times New Roman"/>
                <w:b/>
                <w:bCs/>
                <w:color w:val="auto"/>
                <w:sz w:val="24"/>
                <w:highlight w:val="none"/>
              </w:rPr>
              <w:t>3、噪声</w:t>
            </w:r>
          </w:p>
          <w:p w14:paraId="71AA6858">
            <w:pPr>
              <w:adjustRightInd w:val="0"/>
              <w:snapToGrid w:val="0"/>
              <w:spacing w:line="360" w:lineRule="auto"/>
              <w:ind w:firstLine="482" w:firstLineChars="200"/>
              <w:jc w:val="left"/>
              <w:rPr>
                <w:rFonts w:hint="default" w:ascii="Times New Roman" w:hAnsi="Times New Roman" w:eastAsia="新宋体" w:cs="Times New Roman"/>
                <w:b/>
                <w:bCs/>
                <w:color w:val="auto"/>
                <w:sz w:val="24"/>
                <w:highlight w:val="none"/>
              </w:rPr>
            </w:pPr>
            <w:r>
              <w:rPr>
                <w:rFonts w:hint="default" w:ascii="Times New Roman" w:hAnsi="Times New Roman" w:eastAsia="新宋体" w:cs="Times New Roman"/>
                <w:b/>
                <w:bCs/>
                <w:color w:val="auto"/>
                <w:sz w:val="24"/>
                <w:highlight w:val="none"/>
              </w:rPr>
              <w:t>3.1噪声源强</w:t>
            </w:r>
          </w:p>
          <w:p w14:paraId="16D3D655">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本项目噪声源主要为研发实验室设备运行时产生的噪声；其噪声源强在70～80dB(A)之间。根据《环境影响评价技术导则 声环境》（HJ2.4-2021）附录D，室内声源调查清单如下表</w:t>
            </w:r>
            <w:r>
              <w:rPr>
                <w:rFonts w:hint="default" w:ascii="Times New Roman" w:hAnsi="Times New Roman" w:cs="Times New Roman"/>
                <w:color w:val="auto"/>
                <w:sz w:val="24"/>
                <w:highlight w:val="none"/>
                <w:lang w:val="en-US" w:eastAsia="zh-CN"/>
              </w:rPr>
              <w:t>4.12</w:t>
            </w:r>
            <w:r>
              <w:rPr>
                <w:rFonts w:hint="default" w:ascii="Times New Roman" w:hAnsi="Times New Roman" w:cs="Times New Roman"/>
                <w:color w:val="auto"/>
                <w:sz w:val="24"/>
                <w:highlight w:val="none"/>
              </w:rPr>
              <w:t>所示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室</w:t>
            </w:r>
            <w:r>
              <w:rPr>
                <w:rFonts w:hint="default" w:ascii="Times New Roman" w:hAnsi="Times New Roman" w:cs="Times New Roman"/>
                <w:color w:val="auto"/>
                <w:sz w:val="24"/>
                <w:highlight w:val="none"/>
                <w:lang w:val="en-US" w:eastAsia="zh-CN"/>
              </w:rPr>
              <w:t>外</w:t>
            </w:r>
            <w:r>
              <w:rPr>
                <w:rFonts w:hint="default" w:ascii="Times New Roman" w:hAnsi="Times New Roman" w:cs="Times New Roman"/>
                <w:color w:val="auto"/>
                <w:sz w:val="24"/>
                <w:highlight w:val="none"/>
              </w:rPr>
              <w:t>声源调查清单如下表</w:t>
            </w:r>
            <w:r>
              <w:rPr>
                <w:rFonts w:hint="default" w:ascii="Times New Roman" w:hAnsi="Times New Roman" w:cs="Times New Roman"/>
                <w:color w:val="auto"/>
                <w:sz w:val="24"/>
                <w:highlight w:val="none"/>
                <w:lang w:val="en-US" w:eastAsia="zh-CN"/>
              </w:rPr>
              <w:t>4.13</w:t>
            </w:r>
            <w:r>
              <w:rPr>
                <w:rFonts w:hint="default" w:ascii="Times New Roman" w:hAnsi="Times New Roman" w:cs="Times New Roman"/>
                <w:color w:val="auto"/>
                <w:sz w:val="24"/>
                <w:highlight w:val="none"/>
              </w:rPr>
              <w:t xml:space="preserve">所示。 </w:t>
            </w:r>
          </w:p>
          <w:p w14:paraId="66167D66">
            <w:pPr>
              <w:tabs>
                <w:tab w:val="left" w:pos="0"/>
              </w:tabs>
              <w:snapToGrid/>
              <w:jc w:val="center"/>
              <w:outlineLvl w:val="0"/>
              <w:rPr>
                <w:rFonts w:hint="default" w:ascii="Times New Roman" w:hAnsi="Times New Roman" w:eastAsia="宋体" w:cs="Times New Roman"/>
                <w:b/>
                <w:bCs w:val="0"/>
                <w:color w:val="auto"/>
                <w:kern w:val="2"/>
                <w:sz w:val="24"/>
                <w:szCs w:val="24"/>
                <w:highlight w:val="none"/>
                <w:lang w:bidi="ar"/>
              </w:rPr>
            </w:pPr>
            <w:r>
              <w:rPr>
                <w:rFonts w:hint="default" w:ascii="Times New Roman" w:hAnsi="Times New Roman" w:eastAsia="宋体" w:cs="Times New Roman"/>
                <w:b/>
                <w:bCs/>
                <w:color w:val="auto"/>
                <w:sz w:val="24"/>
                <w:highlight w:val="none"/>
              </w:rPr>
              <w:t>表4</w:t>
            </w:r>
            <w:r>
              <w:rPr>
                <w:rFonts w:hint="default" w:ascii="Times New Roman" w:hAnsi="Times New Roman" w:cs="Times New Roman"/>
                <w:b/>
                <w:bCs/>
                <w:color w:val="auto"/>
                <w:sz w:val="24"/>
                <w:highlight w:val="none"/>
                <w:lang w:val="en-US" w:eastAsia="zh-CN"/>
              </w:rPr>
              <w:t>.12</w:t>
            </w:r>
            <w:r>
              <w:rPr>
                <w:rFonts w:hint="default" w:ascii="Times New Roman" w:hAnsi="Times New Roman" w:eastAsia="宋体" w:cs="Times New Roman"/>
                <w:b/>
                <w:bCs/>
                <w:color w:val="auto"/>
                <w:sz w:val="24"/>
                <w:highlight w:val="none"/>
              </w:rPr>
              <w:t xml:space="preserve"> </w:t>
            </w:r>
            <w:r>
              <w:rPr>
                <w:rFonts w:hint="eastAsia" w:cs="Times New Roman"/>
                <w:b/>
                <w:bCs/>
                <w:color w:val="auto"/>
                <w:sz w:val="24"/>
                <w:highlight w:val="none"/>
                <w:lang w:val="en-US" w:eastAsia="zh-CN"/>
              </w:rPr>
              <w:t xml:space="preserve"> </w:t>
            </w:r>
            <w:r>
              <w:rPr>
                <w:rFonts w:hint="default" w:ascii="Times New Roman" w:hAnsi="Times New Roman" w:eastAsia="宋体" w:cs="Times New Roman"/>
                <w:b/>
                <w:bCs/>
                <w:color w:val="auto"/>
                <w:sz w:val="24"/>
                <w:szCs w:val="24"/>
                <w:highlight w:val="none"/>
              </w:rPr>
              <w:t>本项目噪声产生源强调查清单</w:t>
            </w:r>
            <w:r>
              <w:rPr>
                <w:rFonts w:hint="default" w:ascii="Times New Roman" w:hAnsi="Times New Roman" w:eastAsia="宋体" w:cs="Times New Roman"/>
                <w:b/>
                <w:bCs w:val="0"/>
                <w:color w:val="auto"/>
                <w:kern w:val="2"/>
                <w:sz w:val="24"/>
                <w:szCs w:val="24"/>
                <w:highlight w:val="none"/>
                <w:lang w:bidi="ar"/>
              </w:rPr>
              <w:t>（室内声源）</w:t>
            </w:r>
            <w:r>
              <w:rPr>
                <w:rFonts w:hint="default" w:ascii="Times New Roman" w:hAnsi="Times New Roman" w:eastAsia="宋体" w:cs="Times New Roman"/>
                <w:b/>
                <w:bCs/>
                <w:color w:val="auto"/>
                <w:sz w:val="24"/>
                <w:szCs w:val="24"/>
                <w:highlight w:val="none"/>
              </w:rPr>
              <w:t>声源单位：dB(A)</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28" w:type="dxa"/>
                <w:bottom w:w="0" w:type="dxa"/>
                <w:right w:w="28" w:type="dxa"/>
              </w:tblCellMar>
            </w:tblPr>
            <w:tblGrid>
              <w:gridCol w:w="396"/>
              <w:gridCol w:w="815"/>
              <w:gridCol w:w="815"/>
              <w:gridCol w:w="484"/>
              <w:gridCol w:w="436"/>
              <w:gridCol w:w="1147"/>
              <w:gridCol w:w="328"/>
              <w:gridCol w:w="362"/>
              <w:gridCol w:w="367"/>
              <w:gridCol w:w="624"/>
              <w:gridCol w:w="553"/>
              <w:gridCol w:w="293"/>
              <w:gridCol w:w="346"/>
              <w:gridCol w:w="535"/>
              <w:gridCol w:w="612"/>
            </w:tblGrid>
            <w:tr w14:paraId="2B6E685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729" w:hRule="atLeast"/>
                <w:jc w:val="center"/>
              </w:trPr>
              <w:tc>
                <w:tcPr>
                  <w:tcW w:w="396" w:type="dxa"/>
                  <w:vMerge w:val="restart"/>
                  <w:tcBorders>
                    <w:tl2br w:val="nil"/>
                    <w:tr2bl w:val="nil"/>
                  </w:tcBorders>
                  <w:noWrap/>
                  <w:vAlign w:val="center"/>
                </w:tcPr>
                <w:p w14:paraId="7C7AB4C3">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序</w:t>
                  </w:r>
                  <w:r>
                    <w:rPr>
                      <w:rFonts w:hint="default" w:ascii="Times New Roman" w:hAnsi="Times New Roman" w:cs="Times New Roman"/>
                      <w:b/>
                      <w:bCs/>
                      <w:color w:val="auto"/>
                      <w:highlight w:val="none"/>
                    </w:rPr>
                    <w:t>号</w:t>
                  </w:r>
                </w:p>
              </w:tc>
              <w:tc>
                <w:tcPr>
                  <w:tcW w:w="1630" w:type="dxa"/>
                  <w:gridSpan w:val="2"/>
                  <w:vMerge w:val="restart"/>
                  <w:tcBorders>
                    <w:tl2br w:val="nil"/>
                    <w:tr2bl w:val="nil"/>
                  </w:tcBorders>
                  <w:noWrap/>
                  <w:vAlign w:val="center"/>
                </w:tcPr>
                <w:p w14:paraId="4CF9FF7D">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声源名称</w:t>
                  </w:r>
                </w:p>
              </w:tc>
              <w:tc>
                <w:tcPr>
                  <w:tcW w:w="484" w:type="dxa"/>
                  <w:vMerge w:val="restart"/>
                  <w:tcBorders>
                    <w:tl2br w:val="nil"/>
                    <w:tr2bl w:val="nil"/>
                  </w:tcBorders>
                  <w:noWrap w:val="0"/>
                  <w:vAlign w:val="center"/>
                </w:tcPr>
                <w:p w14:paraId="3D6E43E5">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数量</w:t>
                  </w:r>
                </w:p>
              </w:tc>
              <w:tc>
                <w:tcPr>
                  <w:tcW w:w="436" w:type="dxa"/>
                  <w:vMerge w:val="restart"/>
                  <w:tcBorders>
                    <w:tl2br w:val="nil"/>
                    <w:tr2bl w:val="nil"/>
                  </w:tcBorders>
                  <w:noWrap/>
                  <w:vAlign w:val="center"/>
                </w:tcPr>
                <w:p w14:paraId="71F42D26">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声源源强</w:t>
                  </w:r>
                </w:p>
              </w:tc>
              <w:tc>
                <w:tcPr>
                  <w:tcW w:w="1147" w:type="dxa"/>
                  <w:vMerge w:val="restart"/>
                  <w:tcBorders>
                    <w:tl2br w:val="nil"/>
                    <w:tr2bl w:val="nil"/>
                  </w:tcBorders>
                  <w:noWrap/>
                  <w:vAlign w:val="center"/>
                </w:tcPr>
                <w:p w14:paraId="7B857F0C">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声源控制措施</w:t>
                  </w:r>
                </w:p>
              </w:tc>
              <w:tc>
                <w:tcPr>
                  <w:tcW w:w="1057" w:type="dxa"/>
                  <w:gridSpan w:val="3"/>
                  <w:tcBorders>
                    <w:tl2br w:val="nil"/>
                    <w:tr2bl w:val="nil"/>
                  </w:tcBorders>
                  <w:noWrap w:val="0"/>
                  <w:vAlign w:val="center"/>
                </w:tcPr>
                <w:p w14:paraId="2FA6D053">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空间相对位置[1]/m</w:t>
                  </w:r>
                </w:p>
              </w:tc>
              <w:tc>
                <w:tcPr>
                  <w:tcW w:w="624" w:type="dxa"/>
                  <w:vMerge w:val="restart"/>
                  <w:tcBorders>
                    <w:tl2br w:val="nil"/>
                    <w:tr2bl w:val="nil"/>
                  </w:tcBorders>
                  <w:noWrap/>
                  <w:vAlign w:val="center"/>
                </w:tcPr>
                <w:p w14:paraId="6C8E2329">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距室内边界距离</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东</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/m</w:t>
                  </w:r>
                </w:p>
              </w:tc>
              <w:tc>
                <w:tcPr>
                  <w:tcW w:w="553" w:type="dxa"/>
                  <w:vMerge w:val="restart"/>
                  <w:tcBorders>
                    <w:tl2br w:val="nil"/>
                    <w:tr2bl w:val="nil"/>
                  </w:tcBorders>
                  <w:noWrap/>
                  <w:vAlign w:val="center"/>
                </w:tcPr>
                <w:p w14:paraId="3FC7C5E4">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室内边界噪声级</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东</w:t>
                  </w:r>
                  <w:r>
                    <w:rPr>
                      <w:rFonts w:hint="default" w:ascii="Times New Roman" w:hAnsi="Times New Roman" w:cs="Times New Roman"/>
                      <w:b/>
                      <w:bCs/>
                      <w:color w:val="auto"/>
                      <w:highlight w:val="none"/>
                      <w:lang w:eastAsia="zh-CN"/>
                    </w:rPr>
                    <w:t>）</w:t>
                  </w:r>
                </w:p>
              </w:tc>
              <w:tc>
                <w:tcPr>
                  <w:tcW w:w="293" w:type="dxa"/>
                  <w:vMerge w:val="restart"/>
                  <w:tcBorders>
                    <w:tl2br w:val="nil"/>
                    <w:tr2bl w:val="nil"/>
                  </w:tcBorders>
                  <w:noWrap w:val="0"/>
                  <w:vAlign w:val="center"/>
                </w:tcPr>
                <w:p w14:paraId="059810A9">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运行时段</w:t>
                  </w:r>
                </w:p>
              </w:tc>
              <w:tc>
                <w:tcPr>
                  <w:tcW w:w="346" w:type="dxa"/>
                  <w:vMerge w:val="restart"/>
                  <w:tcBorders>
                    <w:tl2br w:val="nil"/>
                    <w:tr2bl w:val="nil"/>
                  </w:tcBorders>
                  <w:noWrap w:val="0"/>
                  <w:vAlign w:val="center"/>
                </w:tcPr>
                <w:p w14:paraId="29FC5869">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建筑物插入损失</w:t>
                  </w:r>
                </w:p>
              </w:tc>
              <w:tc>
                <w:tcPr>
                  <w:tcW w:w="1147" w:type="dxa"/>
                  <w:gridSpan w:val="2"/>
                  <w:tcBorders>
                    <w:tl2br w:val="nil"/>
                    <w:tr2bl w:val="nil"/>
                  </w:tcBorders>
                  <w:noWrap w:val="0"/>
                  <w:vAlign w:val="center"/>
                </w:tcPr>
                <w:p w14:paraId="66A50EF6">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建筑物外噪声</w:t>
                  </w:r>
                </w:p>
              </w:tc>
            </w:tr>
            <w:tr w14:paraId="2E7917E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1481" w:hRule="atLeast"/>
                <w:jc w:val="center"/>
              </w:trPr>
              <w:tc>
                <w:tcPr>
                  <w:tcW w:w="396" w:type="dxa"/>
                  <w:vMerge w:val="continue"/>
                  <w:tcBorders>
                    <w:tl2br w:val="nil"/>
                    <w:tr2bl w:val="nil"/>
                  </w:tcBorders>
                  <w:noWrap/>
                  <w:vAlign w:val="center"/>
                </w:tcPr>
                <w:p w14:paraId="4A4CD8D9">
                  <w:pPr>
                    <w:bidi w:val="0"/>
                    <w:jc w:val="center"/>
                    <w:rPr>
                      <w:rFonts w:hint="default" w:ascii="Times New Roman" w:hAnsi="Times New Roman" w:cs="Times New Roman"/>
                      <w:b/>
                      <w:bCs/>
                      <w:color w:val="auto"/>
                      <w:highlight w:val="none"/>
                    </w:rPr>
                  </w:pPr>
                </w:p>
              </w:tc>
              <w:tc>
                <w:tcPr>
                  <w:tcW w:w="1630" w:type="dxa"/>
                  <w:gridSpan w:val="2"/>
                  <w:vMerge w:val="continue"/>
                  <w:tcBorders>
                    <w:tl2br w:val="nil"/>
                    <w:tr2bl w:val="nil"/>
                  </w:tcBorders>
                  <w:noWrap/>
                  <w:vAlign w:val="center"/>
                </w:tcPr>
                <w:p w14:paraId="6C51445D">
                  <w:pPr>
                    <w:bidi w:val="0"/>
                    <w:jc w:val="center"/>
                    <w:rPr>
                      <w:rFonts w:hint="default" w:ascii="Times New Roman" w:hAnsi="Times New Roman" w:cs="Times New Roman"/>
                      <w:b/>
                      <w:bCs/>
                      <w:color w:val="auto"/>
                      <w:highlight w:val="none"/>
                    </w:rPr>
                  </w:pPr>
                </w:p>
              </w:tc>
              <w:tc>
                <w:tcPr>
                  <w:tcW w:w="484" w:type="dxa"/>
                  <w:vMerge w:val="continue"/>
                  <w:tcBorders>
                    <w:tl2br w:val="nil"/>
                    <w:tr2bl w:val="nil"/>
                  </w:tcBorders>
                  <w:noWrap w:val="0"/>
                  <w:vAlign w:val="center"/>
                </w:tcPr>
                <w:p w14:paraId="2F887744">
                  <w:pPr>
                    <w:bidi w:val="0"/>
                    <w:jc w:val="center"/>
                    <w:rPr>
                      <w:rFonts w:hint="default" w:ascii="Times New Roman" w:hAnsi="Times New Roman" w:cs="Times New Roman"/>
                      <w:b/>
                      <w:bCs/>
                      <w:color w:val="auto"/>
                      <w:highlight w:val="none"/>
                    </w:rPr>
                  </w:pPr>
                </w:p>
              </w:tc>
              <w:tc>
                <w:tcPr>
                  <w:tcW w:w="436" w:type="dxa"/>
                  <w:vMerge w:val="continue"/>
                  <w:tcBorders>
                    <w:tl2br w:val="nil"/>
                    <w:tr2bl w:val="nil"/>
                  </w:tcBorders>
                  <w:noWrap/>
                  <w:vAlign w:val="center"/>
                </w:tcPr>
                <w:p w14:paraId="30831CFE">
                  <w:pPr>
                    <w:bidi w:val="0"/>
                    <w:jc w:val="center"/>
                    <w:rPr>
                      <w:rFonts w:hint="default" w:ascii="Times New Roman" w:hAnsi="Times New Roman" w:cs="Times New Roman"/>
                      <w:b/>
                      <w:bCs/>
                      <w:color w:val="auto"/>
                      <w:highlight w:val="none"/>
                    </w:rPr>
                  </w:pPr>
                </w:p>
              </w:tc>
              <w:tc>
                <w:tcPr>
                  <w:tcW w:w="1147" w:type="dxa"/>
                  <w:vMerge w:val="continue"/>
                  <w:tcBorders>
                    <w:tl2br w:val="nil"/>
                    <w:tr2bl w:val="nil"/>
                  </w:tcBorders>
                  <w:noWrap/>
                  <w:vAlign w:val="center"/>
                </w:tcPr>
                <w:p w14:paraId="2B462474">
                  <w:pPr>
                    <w:bidi w:val="0"/>
                    <w:jc w:val="center"/>
                    <w:rPr>
                      <w:rFonts w:hint="default" w:ascii="Times New Roman" w:hAnsi="Times New Roman" w:cs="Times New Roman"/>
                      <w:b/>
                      <w:bCs/>
                      <w:color w:val="auto"/>
                      <w:highlight w:val="none"/>
                    </w:rPr>
                  </w:pPr>
                </w:p>
              </w:tc>
              <w:tc>
                <w:tcPr>
                  <w:tcW w:w="328" w:type="dxa"/>
                  <w:tcBorders>
                    <w:tl2br w:val="nil"/>
                    <w:tr2bl w:val="nil"/>
                  </w:tcBorders>
                  <w:noWrap w:val="0"/>
                  <w:vAlign w:val="center"/>
                </w:tcPr>
                <w:p w14:paraId="7DBD94B4">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X</w:t>
                  </w:r>
                </w:p>
              </w:tc>
              <w:tc>
                <w:tcPr>
                  <w:tcW w:w="362" w:type="dxa"/>
                  <w:tcBorders>
                    <w:tl2br w:val="nil"/>
                    <w:tr2bl w:val="nil"/>
                  </w:tcBorders>
                  <w:noWrap w:val="0"/>
                  <w:vAlign w:val="center"/>
                </w:tcPr>
                <w:p w14:paraId="48687EA7">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Y</w:t>
                  </w:r>
                </w:p>
              </w:tc>
              <w:tc>
                <w:tcPr>
                  <w:tcW w:w="367" w:type="dxa"/>
                  <w:tcBorders>
                    <w:tl2br w:val="nil"/>
                    <w:tr2bl w:val="nil"/>
                  </w:tcBorders>
                  <w:noWrap w:val="0"/>
                  <w:vAlign w:val="center"/>
                </w:tcPr>
                <w:p w14:paraId="7FA04E10">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Z</w:t>
                  </w:r>
                </w:p>
              </w:tc>
              <w:tc>
                <w:tcPr>
                  <w:tcW w:w="624" w:type="dxa"/>
                  <w:vMerge w:val="continue"/>
                  <w:tcBorders>
                    <w:tl2br w:val="nil"/>
                    <w:tr2bl w:val="nil"/>
                  </w:tcBorders>
                  <w:noWrap/>
                  <w:vAlign w:val="center"/>
                </w:tcPr>
                <w:p w14:paraId="5E4D055B">
                  <w:pPr>
                    <w:bidi w:val="0"/>
                    <w:jc w:val="center"/>
                    <w:rPr>
                      <w:rFonts w:hint="default" w:ascii="Times New Roman" w:hAnsi="Times New Roman" w:cs="Times New Roman"/>
                      <w:b/>
                      <w:bCs/>
                      <w:color w:val="auto"/>
                      <w:highlight w:val="none"/>
                    </w:rPr>
                  </w:pPr>
                </w:p>
              </w:tc>
              <w:tc>
                <w:tcPr>
                  <w:tcW w:w="553" w:type="dxa"/>
                  <w:vMerge w:val="continue"/>
                  <w:tcBorders>
                    <w:tl2br w:val="nil"/>
                    <w:tr2bl w:val="nil"/>
                  </w:tcBorders>
                  <w:noWrap/>
                  <w:vAlign w:val="center"/>
                </w:tcPr>
                <w:p w14:paraId="674602C0">
                  <w:pPr>
                    <w:bidi w:val="0"/>
                    <w:jc w:val="center"/>
                    <w:rPr>
                      <w:rFonts w:hint="default" w:ascii="Times New Roman" w:hAnsi="Times New Roman" w:cs="Times New Roman"/>
                      <w:b/>
                      <w:bCs/>
                      <w:color w:val="auto"/>
                      <w:highlight w:val="none"/>
                    </w:rPr>
                  </w:pPr>
                </w:p>
              </w:tc>
              <w:tc>
                <w:tcPr>
                  <w:tcW w:w="293" w:type="dxa"/>
                  <w:vMerge w:val="continue"/>
                  <w:tcBorders>
                    <w:tl2br w:val="nil"/>
                    <w:tr2bl w:val="nil"/>
                  </w:tcBorders>
                  <w:noWrap w:val="0"/>
                  <w:vAlign w:val="center"/>
                </w:tcPr>
                <w:p w14:paraId="2BCFA0BA">
                  <w:pPr>
                    <w:bidi w:val="0"/>
                    <w:jc w:val="center"/>
                    <w:rPr>
                      <w:rFonts w:hint="default" w:ascii="Times New Roman" w:hAnsi="Times New Roman" w:cs="Times New Roman"/>
                      <w:b/>
                      <w:bCs/>
                      <w:color w:val="auto"/>
                      <w:highlight w:val="none"/>
                    </w:rPr>
                  </w:pPr>
                </w:p>
              </w:tc>
              <w:tc>
                <w:tcPr>
                  <w:tcW w:w="346" w:type="dxa"/>
                  <w:vMerge w:val="continue"/>
                  <w:tcBorders>
                    <w:tl2br w:val="nil"/>
                    <w:tr2bl w:val="nil"/>
                  </w:tcBorders>
                  <w:noWrap w:val="0"/>
                  <w:vAlign w:val="center"/>
                </w:tcPr>
                <w:p w14:paraId="16672AA4">
                  <w:pPr>
                    <w:bidi w:val="0"/>
                    <w:jc w:val="center"/>
                    <w:rPr>
                      <w:rFonts w:hint="default" w:ascii="Times New Roman" w:hAnsi="Times New Roman" w:cs="Times New Roman"/>
                      <w:b/>
                      <w:bCs/>
                      <w:color w:val="auto"/>
                      <w:highlight w:val="none"/>
                    </w:rPr>
                  </w:pPr>
                </w:p>
              </w:tc>
              <w:tc>
                <w:tcPr>
                  <w:tcW w:w="535" w:type="dxa"/>
                  <w:tcBorders>
                    <w:tl2br w:val="nil"/>
                    <w:tr2bl w:val="nil"/>
                  </w:tcBorders>
                  <w:noWrap w:val="0"/>
                  <w:vAlign w:val="center"/>
                </w:tcPr>
                <w:p w14:paraId="443447A3">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声压级</w:t>
                  </w:r>
                </w:p>
              </w:tc>
              <w:tc>
                <w:tcPr>
                  <w:tcW w:w="612" w:type="dxa"/>
                  <w:tcBorders>
                    <w:tl2br w:val="nil"/>
                    <w:tr2bl w:val="nil"/>
                  </w:tcBorders>
                  <w:noWrap w:val="0"/>
                  <w:vAlign w:val="center"/>
                </w:tcPr>
                <w:p w14:paraId="08982A0D">
                  <w:pPr>
                    <w:bidi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建筑物外距离/m</w:t>
                  </w:r>
                </w:p>
              </w:tc>
            </w:tr>
            <w:tr w14:paraId="5108946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96" w:type="dxa"/>
                  <w:tcBorders>
                    <w:tl2br w:val="nil"/>
                    <w:tr2bl w:val="nil"/>
                  </w:tcBorders>
                  <w:noWrap/>
                  <w:vAlign w:val="center"/>
                </w:tcPr>
                <w:p w14:paraId="4229FA23">
                  <w:pPr>
                    <w:bidi w:val="0"/>
                    <w:jc w:val="center"/>
                    <w:rPr>
                      <w:rFonts w:hint="default" w:ascii="Times New Roman" w:hAnsi="Times New Roman" w:cs="Times New Roman"/>
                      <w:color w:val="auto"/>
                      <w:highlight w:val="none"/>
                    </w:rPr>
                  </w:pPr>
                  <w:bookmarkStart w:id="29" w:name="OLE_LINK1" w:colFirst="9" w:colLast="9"/>
                  <w:bookmarkStart w:id="30" w:name="OLE_LINK4" w:colFirst="3" w:colLast="3"/>
                  <w:bookmarkStart w:id="31" w:name="OLE_LINK3" w:colFirst="4" w:colLast="4"/>
                  <w:bookmarkStart w:id="32" w:name="OLE_LINK2" w:colFirst="1" w:colLast="1"/>
                  <w:r>
                    <w:rPr>
                      <w:rFonts w:hint="default" w:ascii="Times New Roman" w:hAnsi="Times New Roman" w:cs="Times New Roman"/>
                      <w:color w:val="auto"/>
                      <w:highlight w:val="none"/>
                    </w:rPr>
                    <w:t>1</w:t>
                  </w:r>
                </w:p>
              </w:tc>
              <w:tc>
                <w:tcPr>
                  <w:tcW w:w="815" w:type="dxa"/>
                  <w:vMerge w:val="restart"/>
                  <w:tcBorders>
                    <w:tl2br w:val="nil"/>
                    <w:tr2bl w:val="nil"/>
                  </w:tcBorders>
                  <w:noWrap/>
                  <w:vAlign w:val="center"/>
                </w:tcPr>
                <w:p w14:paraId="182803CA">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1#实验区</w:t>
                  </w:r>
                </w:p>
              </w:tc>
              <w:tc>
                <w:tcPr>
                  <w:tcW w:w="815" w:type="dxa"/>
                  <w:tcBorders>
                    <w:tl2br w:val="nil"/>
                    <w:tr2bl w:val="nil"/>
                  </w:tcBorders>
                  <w:noWrap/>
                  <w:vAlign w:val="center"/>
                </w:tcPr>
                <w:p w14:paraId="72299F70">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647F060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32C36C9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restart"/>
                  <w:tcBorders>
                    <w:tl2br w:val="nil"/>
                    <w:tr2bl w:val="nil"/>
                  </w:tcBorders>
                  <w:noWrap/>
                  <w:vAlign w:val="center"/>
                </w:tcPr>
                <w:p w14:paraId="104EB869">
                  <w:pPr>
                    <w:bidi w:val="0"/>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515FEBA3">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D93D490">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3426E96B">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3144CDFC">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5388B426">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A051F89">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2EA998D4">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490DAE20">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34B30EB6">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4742782D">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88BE382">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47B10BE3">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C954514">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174A45A">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4480E095">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9189D9E">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877AE49">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8C8AAC2">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42C7193">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39668828">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CDE9CA0">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092BE7A">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24163525">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DBD0C32">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5932B1A9">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343D936C">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FA9DE31">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6225BD1">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866DBA5">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39D3DF34">
                  <w:pPr>
                    <w:rPr>
                      <w:rFonts w:hint="default"/>
                      <w:lang w:val="en-US" w:eastAsia="zh-CN"/>
                    </w:rPr>
                  </w:pPr>
                  <w:r>
                    <w:rPr>
                      <w:rFonts w:hint="eastAsia" w:cs="Times New Roman"/>
                      <w:color w:val="auto"/>
                      <w:sz w:val="24"/>
                      <w:szCs w:val="24"/>
                      <w:highlight w:val="none"/>
                      <w:lang w:val="en-US" w:eastAsia="zh-CN"/>
                    </w:rPr>
                    <w:t>***</w:t>
                  </w:r>
                </w:p>
              </w:tc>
              <w:tc>
                <w:tcPr>
                  <w:tcW w:w="328" w:type="dxa"/>
                  <w:tcBorders>
                    <w:tl2br w:val="nil"/>
                    <w:tr2bl w:val="nil"/>
                  </w:tcBorders>
                  <w:noWrap w:val="0"/>
                  <w:vAlign w:val="center"/>
                </w:tcPr>
                <w:p w14:paraId="5577449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C2BEAF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194F16F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39F2513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4BC3392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restart"/>
                  <w:tcBorders>
                    <w:tl2br w:val="nil"/>
                    <w:tr2bl w:val="nil"/>
                  </w:tcBorders>
                  <w:noWrap w:val="0"/>
                  <w:vAlign w:val="center"/>
                </w:tcPr>
                <w:p w14:paraId="486B389B">
                  <w:pPr>
                    <w:bidi w:val="0"/>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70C7D10B">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5DA22512">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4692B036">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A84A3FD">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4EDECC9">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62BAA51A">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0BC8BA94">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2635458">
                  <w:p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p>
                <w:p w14:paraId="138102B6">
                  <w:pPr>
                    <w:rPr>
                      <w:rFonts w:hint="default"/>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459CC9AF">
                  <w:pPr>
                    <w:bidi w:val="0"/>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6FF524F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6EA7A592">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p>
              </w:tc>
            </w:tr>
            <w:tr w14:paraId="6F11047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396" w:type="dxa"/>
                  <w:tcBorders>
                    <w:tl2br w:val="nil"/>
                    <w:tr2bl w:val="nil"/>
                  </w:tcBorders>
                  <w:noWrap/>
                  <w:vAlign w:val="center"/>
                </w:tcPr>
                <w:p w14:paraId="3804E2DE">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815" w:type="dxa"/>
                  <w:vMerge w:val="continue"/>
                  <w:tcBorders>
                    <w:tl2br w:val="nil"/>
                    <w:tr2bl w:val="nil"/>
                  </w:tcBorders>
                  <w:noWrap/>
                  <w:vAlign w:val="center"/>
                </w:tcPr>
                <w:p w14:paraId="602649ED">
                  <w:pPr>
                    <w:bidi w:val="0"/>
                    <w:jc w:val="center"/>
                    <w:rPr>
                      <w:rFonts w:hint="default" w:ascii="Times New Roman" w:hAnsi="Times New Roman" w:cs="Times New Roman"/>
                      <w:color w:val="auto"/>
                      <w:highlight w:val="none"/>
                    </w:rPr>
                  </w:pPr>
                </w:p>
              </w:tc>
              <w:tc>
                <w:tcPr>
                  <w:tcW w:w="815" w:type="dxa"/>
                  <w:tcBorders>
                    <w:tl2br w:val="nil"/>
                    <w:tr2bl w:val="nil"/>
                  </w:tcBorders>
                  <w:noWrap/>
                  <w:vAlign w:val="center"/>
                </w:tcPr>
                <w:p w14:paraId="2321184A">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38D9AD6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7270456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467D65BB">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4805D75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723C1D5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04FF088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2BEF3BE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39C4652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659CE99A">
                  <w:pPr>
                    <w:bidi w:val="0"/>
                    <w:jc w:val="center"/>
                    <w:rPr>
                      <w:rFonts w:hint="default" w:ascii="Times New Roman" w:hAnsi="Times New Roman" w:cs="Times New Roman"/>
                      <w:color w:val="auto"/>
                      <w:highlight w:val="none"/>
                    </w:rPr>
                  </w:pPr>
                </w:p>
              </w:tc>
              <w:tc>
                <w:tcPr>
                  <w:tcW w:w="346" w:type="dxa"/>
                  <w:tcBorders>
                    <w:tl2br w:val="nil"/>
                    <w:tr2bl w:val="nil"/>
                  </w:tcBorders>
                  <w:noWrap w:val="0"/>
                  <w:vAlign w:val="center"/>
                </w:tcPr>
                <w:p w14:paraId="48497D64">
                  <w:pPr>
                    <w:bidi w:val="0"/>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199B345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4421F3F5">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p>
              </w:tc>
            </w:tr>
            <w:tr w14:paraId="3C413DB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96" w:type="dxa"/>
                  <w:tcBorders>
                    <w:tl2br w:val="nil"/>
                    <w:tr2bl w:val="nil"/>
                  </w:tcBorders>
                  <w:noWrap/>
                  <w:vAlign w:val="center"/>
                </w:tcPr>
                <w:p w14:paraId="31243173">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815" w:type="dxa"/>
                  <w:vMerge w:val="continue"/>
                  <w:tcBorders>
                    <w:tl2br w:val="nil"/>
                    <w:tr2bl w:val="nil"/>
                  </w:tcBorders>
                  <w:noWrap/>
                  <w:vAlign w:val="center"/>
                </w:tcPr>
                <w:p w14:paraId="0971CB39">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28B517B1">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252AED8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4FA3EDA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4398C0CE">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40B81F1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48FD8CA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6323767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6582C8F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31666C9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4B9E9DFA">
                  <w:pPr>
                    <w:bidi w:val="0"/>
                    <w:jc w:val="center"/>
                    <w:rPr>
                      <w:rFonts w:hint="default" w:ascii="Times New Roman" w:hAnsi="Times New Roman" w:cs="Times New Roman"/>
                      <w:color w:val="auto"/>
                      <w:highlight w:val="none"/>
                    </w:rPr>
                  </w:pPr>
                </w:p>
              </w:tc>
              <w:tc>
                <w:tcPr>
                  <w:tcW w:w="346" w:type="dxa"/>
                  <w:tcBorders>
                    <w:tl2br w:val="nil"/>
                    <w:tr2bl w:val="nil"/>
                  </w:tcBorders>
                  <w:noWrap w:val="0"/>
                  <w:vAlign w:val="center"/>
                </w:tcPr>
                <w:p w14:paraId="5C4747BE">
                  <w:pPr>
                    <w:bidi w:val="0"/>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26376C0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41276B11">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p>
              </w:tc>
            </w:tr>
            <w:tr w14:paraId="465BB02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96" w:type="dxa"/>
                  <w:tcBorders>
                    <w:tl2br w:val="nil"/>
                    <w:tr2bl w:val="nil"/>
                  </w:tcBorders>
                  <w:noWrap/>
                  <w:vAlign w:val="center"/>
                </w:tcPr>
                <w:p w14:paraId="65E88403">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815" w:type="dxa"/>
                  <w:vMerge w:val="continue"/>
                  <w:tcBorders>
                    <w:tl2br w:val="nil"/>
                    <w:tr2bl w:val="nil"/>
                  </w:tcBorders>
                  <w:noWrap/>
                  <w:vAlign w:val="center"/>
                </w:tcPr>
                <w:p w14:paraId="2041C073">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6CE3EA62">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22C8D1F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2A480772">
                  <w:pPr>
                    <w:bidi w:val="0"/>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5B3B47F6">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6D8D550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44835EA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44B9A20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0926135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65C0898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18438243">
                  <w:pPr>
                    <w:bidi w:val="0"/>
                    <w:jc w:val="center"/>
                    <w:rPr>
                      <w:rFonts w:hint="default" w:ascii="Times New Roman" w:hAnsi="Times New Roman" w:cs="Times New Roman"/>
                      <w:color w:val="auto"/>
                      <w:highlight w:val="none"/>
                    </w:rPr>
                  </w:pPr>
                </w:p>
              </w:tc>
              <w:tc>
                <w:tcPr>
                  <w:tcW w:w="346" w:type="dxa"/>
                  <w:tcBorders>
                    <w:tl2br w:val="nil"/>
                    <w:tr2bl w:val="nil"/>
                  </w:tcBorders>
                  <w:noWrap w:val="0"/>
                  <w:vAlign w:val="center"/>
                </w:tcPr>
                <w:p w14:paraId="0B56D381">
                  <w:pPr>
                    <w:bidi w:val="0"/>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2A6CD13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6AA9C6DD">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p>
              </w:tc>
            </w:tr>
            <w:tr w14:paraId="195EC2F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96" w:type="dxa"/>
                  <w:tcBorders>
                    <w:tl2br w:val="nil"/>
                    <w:tr2bl w:val="nil"/>
                  </w:tcBorders>
                  <w:noWrap/>
                  <w:vAlign w:val="center"/>
                </w:tcPr>
                <w:p w14:paraId="7569409B">
                  <w:pP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815" w:type="dxa"/>
                  <w:vMerge w:val="continue"/>
                  <w:tcBorders>
                    <w:tl2br w:val="nil"/>
                    <w:tr2bl w:val="nil"/>
                  </w:tcBorders>
                  <w:noWrap/>
                  <w:vAlign w:val="center"/>
                </w:tcPr>
                <w:p w14:paraId="7606142E">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0BD6A0C3">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5BAEC31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66E6DAE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1A5AF097">
                  <w:pPr>
                    <w:bidi w:val="0"/>
                    <w:jc w:val="center"/>
                    <w:rPr>
                      <w:rFonts w:hint="default" w:ascii="Times New Roman" w:hAnsi="Times New Roman" w:cs="Times New Roman"/>
                      <w:color w:val="auto"/>
                      <w:highlight w:val="none"/>
                      <w:lang w:val="en-US" w:eastAsia="zh-CN"/>
                    </w:rPr>
                  </w:pPr>
                </w:p>
              </w:tc>
              <w:tc>
                <w:tcPr>
                  <w:tcW w:w="328" w:type="dxa"/>
                  <w:tcBorders>
                    <w:tl2br w:val="nil"/>
                    <w:tr2bl w:val="nil"/>
                  </w:tcBorders>
                  <w:noWrap w:val="0"/>
                  <w:vAlign w:val="center"/>
                </w:tcPr>
                <w:p w14:paraId="10B18EF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305D49A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7318304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238F6F6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19BEE9D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78AA40E2">
                  <w:pPr>
                    <w:bidi w:val="0"/>
                    <w:jc w:val="center"/>
                    <w:rPr>
                      <w:rFonts w:hint="default" w:ascii="Times New Roman" w:hAnsi="Times New Roman" w:cs="Times New Roman"/>
                      <w:color w:val="auto"/>
                      <w:highlight w:val="none"/>
                      <w:lang w:val="en-US" w:eastAsia="zh-CN"/>
                    </w:rPr>
                  </w:pPr>
                </w:p>
              </w:tc>
              <w:tc>
                <w:tcPr>
                  <w:tcW w:w="346" w:type="dxa"/>
                  <w:tcBorders>
                    <w:tl2br w:val="nil"/>
                    <w:tr2bl w:val="nil"/>
                  </w:tcBorders>
                  <w:noWrap w:val="0"/>
                  <w:vAlign w:val="center"/>
                </w:tcPr>
                <w:p w14:paraId="5F540AE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2948A08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42F1BAFF">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554765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96" w:type="dxa"/>
                  <w:tcBorders>
                    <w:tl2br w:val="nil"/>
                    <w:tr2bl w:val="nil"/>
                  </w:tcBorders>
                  <w:noWrap/>
                  <w:vAlign w:val="center"/>
                </w:tcPr>
                <w:p w14:paraId="10E427BC">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p>
              </w:tc>
              <w:tc>
                <w:tcPr>
                  <w:tcW w:w="815" w:type="dxa"/>
                  <w:vMerge w:val="continue"/>
                  <w:tcBorders>
                    <w:tl2br w:val="nil"/>
                    <w:tr2bl w:val="nil"/>
                  </w:tcBorders>
                  <w:noWrap/>
                  <w:vAlign w:val="center"/>
                </w:tcPr>
                <w:p w14:paraId="7FFBB0B5">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05F7AD08">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4B7846D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389E09A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06E24435">
                  <w:pPr>
                    <w:bidi w:val="0"/>
                    <w:jc w:val="center"/>
                    <w:rPr>
                      <w:rFonts w:hint="default" w:ascii="Times New Roman" w:hAnsi="Times New Roman" w:cs="Times New Roman"/>
                      <w:color w:val="auto"/>
                      <w:highlight w:val="none"/>
                      <w:lang w:val="en-US" w:eastAsia="zh-CN"/>
                    </w:rPr>
                  </w:pPr>
                </w:p>
              </w:tc>
              <w:tc>
                <w:tcPr>
                  <w:tcW w:w="328" w:type="dxa"/>
                  <w:tcBorders>
                    <w:tl2br w:val="nil"/>
                    <w:tr2bl w:val="nil"/>
                  </w:tcBorders>
                  <w:noWrap w:val="0"/>
                  <w:vAlign w:val="center"/>
                </w:tcPr>
                <w:p w14:paraId="173DCC0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4A7DBB5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2162EC0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61C93CA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1ECE213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76C8CB64">
                  <w:pPr>
                    <w:bidi w:val="0"/>
                    <w:jc w:val="center"/>
                    <w:rPr>
                      <w:rFonts w:hint="default" w:ascii="Times New Roman" w:hAnsi="Times New Roman" w:cs="Times New Roman"/>
                      <w:color w:val="auto"/>
                      <w:highlight w:val="none"/>
                      <w:lang w:val="en-US" w:eastAsia="zh-CN"/>
                    </w:rPr>
                  </w:pPr>
                </w:p>
              </w:tc>
              <w:tc>
                <w:tcPr>
                  <w:tcW w:w="346" w:type="dxa"/>
                  <w:tcBorders>
                    <w:tl2br w:val="nil"/>
                    <w:tr2bl w:val="nil"/>
                  </w:tcBorders>
                  <w:noWrap w:val="0"/>
                  <w:vAlign w:val="center"/>
                </w:tcPr>
                <w:p w14:paraId="22ED70B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3DF5071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2D6A799A">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5D344F1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500" w:hRule="atLeast"/>
                <w:jc w:val="center"/>
              </w:trPr>
              <w:tc>
                <w:tcPr>
                  <w:tcW w:w="396" w:type="dxa"/>
                  <w:tcBorders>
                    <w:tl2br w:val="nil"/>
                    <w:tr2bl w:val="nil"/>
                  </w:tcBorders>
                  <w:noWrap/>
                  <w:vAlign w:val="center"/>
                </w:tcPr>
                <w:p w14:paraId="4D73009E">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w:t>
                  </w:r>
                </w:p>
              </w:tc>
              <w:tc>
                <w:tcPr>
                  <w:tcW w:w="815" w:type="dxa"/>
                  <w:vMerge w:val="continue"/>
                  <w:tcBorders>
                    <w:tl2br w:val="nil"/>
                    <w:tr2bl w:val="nil"/>
                  </w:tcBorders>
                  <w:noWrap/>
                  <w:vAlign w:val="center"/>
                </w:tcPr>
                <w:p w14:paraId="088F4DCD">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41F0EBC7">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746F16F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016C9F3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7BEDA743">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5369214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5ED016D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4975F9C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61123F9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0A9D622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0B7EC08D">
                  <w:pPr>
                    <w:bidi w:val="0"/>
                    <w:jc w:val="center"/>
                    <w:rPr>
                      <w:rFonts w:hint="default" w:ascii="Times New Roman" w:hAnsi="Times New Roman" w:cs="Times New Roman"/>
                      <w:color w:val="auto"/>
                      <w:highlight w:val="none"/>
                    </w:rPr>
                  </w:pPr>
                </w:p>
              </w:tc>
              <w:tc>
                <w:tcPr>
                  <w:tcW w:w="346" w:type="dxa"/>
                  <w:tcBorders>
                    <w:tl2br w:val="nil"/>
                    <w:tr2bl w:val="nil"/>
                  </w:tcBorders>
                  <w:noWrap w:val="0"/>
                  <w:vAlign w:val="center"/>
                </w:tcPr>
                <w:p w14:paraId="693757F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2AD6576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5A86B49A">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10C5C5B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96" w:type="dxa"/>
                  <w:tcBorders>
                    <w:tl2br w:val="nil"/>
                    <w:tr2bl w:val="nil"/>
                  </w:tcBorders>
                  <w:noWrap/>
                  <w:vAlign w:val="center"/>
                </w:tcPr>
                <w:p w14:paraId="04191ABE">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w:t>
                  </w:r>
                </w:p>
              </w:tc>
              <w:tc>
                <w:tcPr>
                  <w:tcW w:w="815" w:type="dxa"/>
                  <w:vMerge w:val="continue"/>
                  <w:tcBorders>
                    <w:tl2br w:val="nil"/>
                    <w:tr2bl w:val="nil"/>
                  </w:tcBorders>
                  <w:noWrap/>
                  <w:vAlign w:val="center"/>
                </w:tcPr>
                <w:p w14:paraId="3810E71A">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37FAAEC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78918D5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7E6FEF0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196D7CDC">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228C943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05E5C76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40AF27D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1CFE85A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349AC1F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35D71EC2">
                  <w:pPr>
                    <w:bidi w:val="0"/>
                    <w:jc w:val="center"/>
                    <w:rPr>
                      <w:rFonts w:hint="default" w:ascii="Times New Roman" w:hAnsi="Times New Roman" w:cs="Times New Roman"/>
                      <w:color w:val="auto"/>
                      <w:highlight w:val="none"/>
                    </w:rPr>
                  </w:pPr>
                </w:p>
              </w:tc>
              <w:tc>
                <w:tcPr>
                  <w:tcW w:w="346" w:type="dxa"/>
                  <w:tcBorders>
                    <w:tl2br w:val="nil"/>
                    <w:tr2bl w:val="nil"/>
                  </w:tcBorders>
                  <w:noWrap w:val="0"/>
                  <w:vAlign w:val="center"/>
                </w:tcPr>
                <w:p w14:paraId="745639B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4D7180C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132FB702">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47BE0FD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96" w:type="dxa"/>
                  <w:tcBorders>
                    <w:tl2br w:val="nil"/>
                    <w:tr2bl w:val="nil"/>
                  </w:tcBorders>
                  <w:noWrap/>
                  <w:vAlign w:val="center"/>
                </w:tcPr>
                <w:p w14:paraId="7CF929E9">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w:t>
                  </w:r>
                </w:p>
              </w:tc>
              <w:tc>
                <w:tcPr>
                  <w:tcW w:w="815" w:type="dxa"/>
                  <w:vMerge w:val="continue"/>
                  <w:tcBorders>
                    <w:tl2br w:val="nil"/>
                    <w:tr2bl w:val="nil"/>
                  </w:tcBorders>
                  <w:noWrap/>
                  <w:vAlign w:val="center"/>
                </w:tcPr>
                <w:p w14:paraId="199188CA">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161146C3">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4288D95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5E315C0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6CD8BB5D">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663E589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26685C8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216E57B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21D8FB8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2DC10D5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26C6857A">
                  <w:pPr>
                    <w:bidi w:val="0"/>
                    <w:jc w:val="center"/>
                    <w:rPr>
                      <w:rFonts w:hint="default" w:ascii="Times New Roman" w:hAnsi="Times New Roman" w:cs="Times New Roman"/>
                      <w:color w:val="auto"/>
                      <w:highlight w:val="none"/>
                    </w:rPr>
                  </w:pPr>
                </w:p>
              </w:tc>
              <w:tc>
                <w:tcPr>
                  <w:tcW w:w="346" w:type="dxa"/>
                  <w:tcBorders>
                    <w:tl2br w:val="nil"/>
                    <w:tr2bl w:val="nil"/>
                  </w:tcBorders>
                  <w:noWrap w:val="0"/>
                  <w:vAlign w:val="center"/>
                </w:tcPr>
                <w:p w14:paraId="4AA1F6E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39FCC6F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66E1A6C4">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6B46408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60" w:hRule="atLeast"/>
                <w:jc w:val="center"/>
              </w:trPr>
              <w:tc>
                <w:tcPr>
                  <w:tcW w:w="396" w:type="dxa"/>
                  <w:tcBorders>
                    <w:tl2br w:val="nil"/>
                    <w:tr2bl w:val="nil"/>
                  </w:tcBorders>
                  <w:noWrap/>
                  <w:vAlign w:val="center"/>
                </w:tcPr>
                <w:p w14:paraId="14A791E4">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w:t>
                  </w:r>
                </w:p>
              </w:tc>
              <w:tc>
                <w:tcPr>
                  <w:tcW w:w="815" w:type="dxa"/>
                  <w:vMerge w:val="continue"/>
                  <w:tcBorders>
                    <w:tl2br w:val="nil"/>
                    <w:tr2bl w:val="nil"/>
                  </w:tcBorders>
                  <w:noWrap/>
                  <w:vAlign w:val="center"/>
                </w:tcPr>
                <w:p w14:paraId="528158B7">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586C5DFB">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66EA16E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0BF73B0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2E6464AA">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3688935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10ABDC6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53D50E8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733F1C4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7BC0991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vMerge w:val="continue"/>
                  <w:tcBorders>
                    <w:tl2br w:val="nil"/>
                    <w:tr2bl w:val="nil"/>
                  </w:tcBorders>
                  <w:noWrap w:val="0"/>
                  <w:vAlign w:val="center"/>
                </w:tcPr>
                <w:p w14:paraId="22BFC6AC">
                  <w:pPr>
                    <w:bidi w:val="0"/>
                    <w:jc w:val="center"/>
                    <w:rPr>
                      <w:rFonts w:hint="default" w:ascii="Times New Roman" w:hAnsi="Times New Roman" w:cs="Times New Roman"/>
                      <w:color w:val="auto"/>
                      <w:highlight w:val="none"/>
                    </w:rPr>
                  </w:pPr>
                </w:p>
              </w:tc>
              <w:tc>
                <w:tcPr>
                  <w:tcW w:w="346" w:type="dxa"/>
                  <w:tcBorders>
                    <w:tl2br w:val="nil"/>
                    <w:tr2bl w:val="nil"/>
                  </w:tcBorders>
                  <w:noWrap w:val="0"/>
                  <w:vAlign w:val="center"/>
                </w:tcPr>
                <w:p w14:paraId="6B240D5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41AC562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2648B295">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790EEB0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60" w:hRule="atLeast"/>
                <w:jc w:val="center"/>
              </w:trPr>
              <w:tc>
                <w:tcPr>
                  <w:tcW w:w="396" w:type="dxa"/>
                  <w:tcBorders>
                    <w:tl2br w:val="nil"/>
                    <w:tr2bl w:val="nil"/>
                  </w:tcBorders>
                  <w:noWrap/>
                  <w:vAlign w:val="center"/>
                </w:tcPr>
                <w:p w14:paraId="4575B65C">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11</w:t>
                  </w:r>
                </w:p>
              </w:tc>
              <w:tc>
                <w:tcPr>
                  <w:tcW w:w="815" w:type="dxa"/>
                  <w:vMerge w:val="continue"/>
                  <w:tcBorders>
                    <w:tl2br w:val="nil"/>
                    <w:tr2bl w:val="nil"/>
                  </w:tcBorders>
                  <w:noWrap/>
                  <w:vAlign w:val="center"/>
                </w:tcPr>
                <w:p w14:paraId="19D8AB2A">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205F0F5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5147C15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75843D5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2D6914F4">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27F8D1B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7DD76C1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51A6678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34B1720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15E1572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74F92CBA">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04A1F83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77AA9AB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7F9019C4">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20C22BF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60" w:hRule="atLeast"/>
                <w:jc w:val="center"/>
              </w:trPr>
              <w:tc>
                <w:tcPr>
                  <w:tcW w:w="396" w:type="dxa"/>
                  <w:tcBorders>
                    <w:tl2br w:val="nil"/>
                    <w:tr2bl w:val="nil"/>
                  </w:tcBorders>
                  <w:noWrap/>
                  <w:vAlign w:val="center"/>
                </w:tcPr>
                <w:p w14:paraId="002829D9">
                  <w:pPr>
                    <w:bidi w:val="0"/>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w:t>
                  </w:r>
                  <w:r>
                    <w:rPr>
                      <w:rFonts w:hint="eastAsia" w:cs="Times New Roman"/>
                      <w:color w:val="auto"/>
                      <w:highlight w:val="none"/>
                      <w:lang w:val="en-US" w:eastAsia="zh-CN"/>
                    </w:rPr>
                    <w:t>2</w:t>
                  </w:r>
                </w:p>
              </w:tc>
              <w:tc>
                <w:tcPr>
                  <w:tcW w:w="815" w:type="dxa"/>
                  <w:vMerge w:val="continue"/>
                  <w:tcBorders>
                    <w:tl2br w:val="nil"/>
                    <w:tr2bl w:val="nil"/>
                  </w:tcBorders>
                  <w:noWrap/>
                  <w:vAlign w:val="center"/>
                </w:tcPr>
                <w:p w14:paraId="33FD95E1">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06E755A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0421F03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3CEB987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31F76C5C">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55D7673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03B2ED5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7A51682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0972ED7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3D6D06D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31007315">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2D5CA59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56F4A6A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54574451">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7A7C1C3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5E258E4A">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13</w:t>
                  </w:r>
                </w:p>
              </w:tc>
              <w:tc>
                <w:tcPr>
                  <w:tcW w:w="815" w:type="dxa"/>
                  <w:vMerge w:val="continue"/>
                  <w:tcBorders>
                    <w:tl2br w:val="nil"/>
                    <w:tr2bl w:val="nil"/>
                  </w:tcBorders>
                  <w:noWrap/>
                  <w:vAlign w:val="center"/>
                </w:tcPr>
                <w:p w14:paraId="241D7EA0">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0277267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4DC2E21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7B1685A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48E50E7C">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337C92B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7DC965E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09B791A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07C7A3B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505D1CA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61C0CCB5">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4A9DAE1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5C3C604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35EC75F3">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3225F68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53611762">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14</w:t>
                  </w:r>
                </w:p>
              </w:tc>
              <w:tc>
                <w:tcPr>
                  <w:tcW w:w="815" w:type="dxa"/>
                  <w:vMerge w:val="continue"/>
                  <w:tcBorders>
                    <w:tl2br w:val="nil"/>
                    <w:tr2bl w:val="nil"/>
                  </w:tcBorders>
                  <w:noWrap/>
                  <w:vAlign w:val="center"/>
                </w:tcPr>
                <w:p w14:paraId="10C9ECD5">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6D4F800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74526AE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39B9348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19C5D120">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360E227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5A19CD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3EEEDE7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55AC38A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794684D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485973AF">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139033D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6C13333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540F4557">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29DAD65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6F2FC8F0">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15</w:t>
                  </w:r>
                </w:p>
              </w:tc>
              <w:tc>
                <w:tcPr>
                  <w:tcW w:w="815" w:type="dxa"/>
                  <w:vMerge w:val="continue"/>
                  <w:tcBorders>
                    <w:tl2br w:val="nil"/>
                    <w:tr2bl w:val="nil"/>
                  </w:tcBorders>
                  <w:noWrap/>
                  <w:vAlign w:val="center"/>
                </w:tcPr>
                <w:p w14:paraId="254D8782">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54061AF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4678CBB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2D9E929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0B2EA218">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0598C12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2D83441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3BB18C1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4E6EE58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4F86BF3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3ED14B94">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34F283F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4827B0E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04862BA4">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2F35D9C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457F7848">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16</w:t>
                  </w:r>
                </w:p>
              </w:tc>
              <w:tc>
                <w:tcPr>
                  <w:tcW w:w="815" w:type="dxa"/>
                  <w:vMerge w:val="continue"/>
                  <w:tcBorders>
                    <w:tl2br w:val="nil"/>
                    <w:tr2bl w:val="nil"/>
                  </w:tcBorders>
                  <w:noWrap/>
                  <w:vAlign w:val="center"/>
                </w:tcPr>
                <w:p w14:paraId="575E2EE5">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5AE0012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4A54D5E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50E74D1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4448E8F3">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5C3460C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4B50E39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7A96936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5183CA8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010464F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773678CC">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411DB54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5449D01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75EB3F95">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2FCC588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0CE581F4">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17</w:t>
                  </w:r>
                </w:p>
              </w:tc>
              <w:tc>
                <w:tcPr>
                  <w:tcW w:w="815" w:type="dxa"/>
                  <w:vMerge w:val="continue"/>
                  <w:tcBorders>
                    <w:tl2br w:val="nil"/>
                    <w:tr2bl w:val="nil"/>
                  </w:tcBorders>
                  <w:noWrap/>
                  <w:vAlign w:val="center"/>
                </w:tcPr>
                <w:p w14:paraId="5F303A5A">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3B64961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28AC083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7EAA2E1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68B1D271">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157BB42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E3BF4C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2956C6C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68E4BC5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6F0BC3E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5A0C4FA1">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261096D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1126045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350355B8">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150C6DF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06206D45">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18</w:t>
                  </w:r>
                </w:p>
              </w:tc>
              <w:tc>
                <w:tcPr>
                  <w:tcW w:w="815" w:type="dxa"/>
                  <w:vMerge w:val="continue"/>
                  <w:tcBorders>
                    <w:tl2br w:val="nil"/>
                    <w:tr2bl w:val="nil"/>
                  </w:tcBorders>
                  <w:noWrap/>
                  <w:vAlign w:val="center"/>
                </w:tcPr>
                <w:p w14:paraId="765E4B87">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2D6D342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55FB607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6FF6A85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671AC6C0">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59B332D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16A4609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448D352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39489EC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3EF59DA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34E94E55">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1D47D78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080D462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221C6772">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739C435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747" w:hRule="atLeast"/>
                <w:jc w:val="center"/>
              </w:trPr>
              <w:tc>
                <w:tcPr>
                  <w:tcW w:w="396" w:type="dxa"/>
                  <w:tcBorders>
                    <w:tl2br w:val="nil"/>
                    <w:tr2bl w:val="nil"/>
                  </w:tcBorders>
                  <w:noWrap/>
                  <w:vAlign w:val="center"/>
                </w:tcPr>
                <w:p w14:paraId="4B41E48E">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19</w:t>
                  </w:r>
                </w:p>
              </w:tc>
              <w:tc>
                <w:tcPr>
                  <w:tcW w:w="815" w:type="dxa"/>
                  <w:vMerge w:val="continue"/>
                  <w:tcBorders>
                    <w:tl2br w:val="nil"/>
                    <w:tr2bl w:val="nil"/>
                  </w:tcBorders>
                  <w:noWrap/>
                  <w:vAlign w:val="center"/>
                </w:tcPr>
                <w:p w14:paraId="7E26BD0B">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5D607D1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0ADBE89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0DE8A89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2DA05886">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0BD73BE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898CB0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24D9DE7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2C7FA36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3CD9FD7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57C1D3B5">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5AE8C26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331B2DE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7F910AD0">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067AA80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6107FF28">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20</w:t>
                  </w:r>
                </w:p>
              </w:tc>
              <w:tc>
                <w:tcPr>
                  <w:tcW w:w="815" w:type="dxa"/>
                  <w:vMerge w:val="continue"/>
                  <w:tcBorders>
                    <w:tl2br w:val="nil"/>
                    <w:tr2bl w:val="nil"/>
                  </w:tcBorders>
                  <w:noWrap/>
                  <w:vAlign w:val="center"/>
                </w:tcPr>
                <w:p w14:paraId="37C5D48A">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4CF6861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7482520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6AA9B55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0FC80F26">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3FCEDE6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1F63172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37A6B97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271A67C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3F0E50A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2DC3D2FF">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0FC2F9D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185ACF5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3AB8A6FD">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73CD3D1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25FB8635">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21</w:t>
                  </w:r>
                </w:p>
              </w:tc>
              <w:tc>
                <w:tcPr>
                  <w:tcW w:w="815" w:type="dxa"/>
                  <w:vMerge w:val="continue"/>
                  <w:tcBorders>
                    <w:tl2br w:val="nil"/>
                    <w:tr2bl w:val="nil"/>
                  </w:tcBorders>
                  <w:noWrap/>
                  <w:vAlign w:val="center"/>
                </w:tcPr>
                <w:p w14:paraId="372E9FB6">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2E4AB9B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18D7E07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569FD7E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66FB52DD">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7716068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0C8AECE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512E43E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408D39E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2A9AFAB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5A32EBDE">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3852D95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6767854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24727F06">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56ED590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5B0101DB">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22</w:t>
                  </w:r>
                </w:p>
              </w:tc>
              <w:tc>
                <w:tcPr>
                  <w:tcW w:w="815" w:type="dxa"/>
                  <w:vMerge w:val="restart"/>
                  <w:tcBorders>
                    <w:tl2br w:val="nil"/>
                    <w:tr2bl w:val="nil"/>
                  </w:tcBorders>
                  <w:noWrap/>
                  <w:vAlign w:val="center"/>
                </w:tcPr>
                <w:p w14:paraId="72F4028C">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#实验区</w:t>
                  </w:r>
                </w:p>
              </w:tc>
              <w:tc>
                <w:tcPr>
                  <w:tcW w:w="815" w:type="dxa"/>
                  <w:tcBorders>
                    <w:tl2br w:val="nil"/>
                    <w:tr2bl w:val="nil"/>
                  </w:tcBorders>
                  <w:noWrap/>
                  <w:vAlign w:val="center"/>
                </w:tcPr>
                <w:p w14:paraId="16BC0BE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261AB2B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227893D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0B6BF8A6">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572C31A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FBCF4F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1450422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6EE0EB4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1ECC726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28542346">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79E1399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016F141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251061A6">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3BD042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67048A7C">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23</w:t>
                  </w:r>
                </w:p>
              </w:tc>
              <w:tc>
                <w:tcPr>
                  <w:tcW w:w="815" w:type="dxa"/>
                  <w:vMerge w:val="continue"/>
                  <w:tcBorders>
                    <w:tl2br w:val="nil"/>
                    <w:tr2bl w:val="nil"/>
                  </w:tcBorders>
                  <w:noWrap/>
                  <w:vAlign w:val="center"/>
                </w:tcPr>
                <w:p w14:paraId="7C1EF5D2">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7FD7A2F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259DB0C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143A578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3BA679B2">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65307C8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720B75D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51680F4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7339015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235E59C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6C885EED">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41D3B83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43F6D6F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5168B5CC">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7647743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45662EE6">
                  <w:pPr>
                    <w:bidi w:val="0"/>
                    <w:jc w:val="center"/>
                    <w:rPr>
                      <w:rFonts w:hint="default" w:cs="Times New Roman"/>
                      <w:color w:val="auto"/>
                      <w:highlight w:val="none"/>
                      <w:lang w:val="en-US" w:eastAsia="zh-CN"/>
                    </w:rPr>
                  </w:pPr>
                  <w:r>
                    <w:rPr>
                      <w:rFonts w:hint="eastAsia" w:cs="Times New Roman"/>
                      <w:color w:val="auto"/>
                      <w:highlight w:val="none"/>
                      <w:lang w:val="en-US" w:eastAsia="zh-CN"/>
                    </w:rPr>
                    <w:t>24</w:t>
                  </w:r>
                </w:p>
              </w:tc>
              <w:tc>
                <w:tcPr>
                  <w:tcW w:w="815" w:type="dxa"/>
                  <w:vMerge w:val="continue"/>
                  <w:tcBorders>
                    <w:tl2br w:val="nil"/>
                    <w:tr2bl w:val="nil"/>
                  </w:tcBorders>
                  <w:noWrap/>
                  <w:vAlign w:val="center"/>
                </w:tcPr>
                <w:p w14:paraId="6D7C0A33">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291A5E4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7A1CEDC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48E1DBD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0F1FC46F">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6AB7598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7B5FCA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63D22E0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461FE48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0981ADE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47B20328">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06428FF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6853EB3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6CBD2D1B">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294D52C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5872C73A">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25</w:t>
                  </w:r>
                </w:p>
              </w:tc>
              <w:tc>
                <w:tcPr>
                  <w:tcW w:w="815" w:type="dxa"/>
                  <w:vMerge w:val="continue"/>
                  <w:tcBorders>
                    <w:tl2br w:val="nil"/>
                    <w:tr2bl w:val="nil"/>
                  </w:tcBorders>
                  <w:noWrap/>
                  <w:vAlign w:val="center"/>
                </w:tcPr>
                <w:p w14:paraId="559D30D8">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328A249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498F6A1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6D12A41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67F1802A">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4CD8338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B7557D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2248A25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1F9BF6B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6C08F07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6A772E12">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2D4033E2">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1AF979C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5D0765C6">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7654953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4EAB2262">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26</w:t>
                  </w:r>
                </w:p>
              </w:tc>
              <w:tc>
                <w:tcPr>
                  <w:tcW w:w="815" w:type="dxa"/>
                  <w:vMerge w:val="continue"/>
                  <w:tcBorders>
                    <w:tl2br w:val="nil"/>
                    <w:tr2bl w:val="nil"/>
                  </w:tcBorders>
                  <w:noWrap/>
                  <w:vAlign w:val="center"/>
                </w:tcPr>
                <w:p w14:paraId="3957513D">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0CD5D09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2BF8EF1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5351236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44C17991">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1BAED3C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7D7F5FA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23E91BE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3AFA993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298EF96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0D6595D0">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62D2806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3A27F82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07A011C2">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68B6235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7A2BB344">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27</w:t>
                  </w:r>
                </w:p>
              </w:tc>
              <w:tc>
                <w:tcPr>
                  <w:tcW w:w="815" w:type="dxa"/>
                  <w:vMerge w:val="continue"/>
                  <w:tcBorders>
                    <w:tl2br w:val="nil"/>
                    <w:tr2bl w:val="nil"/>
                  </w:tcBorders>
                  <w:noWrap/>
                  <w:vAlign w:val="center"/>
                </w:tcPr>
                <w:p w14:paraId="2D4C5655">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1FFC2DE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105DC2E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5E7610A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6959E6AF">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60C768B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4394D16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63F7661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0CDED43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7A2D80D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52FBBD9A">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18E14D4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053E288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6B0B8B33">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01CA70A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254B2CCB">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28</w:t>
                  </w:r>
                </w:p>
              </w:tc>
              <w:tc>
                <w:tcPr>
                  <w:tcW w:w="815" w:type="dxa"/>
                  <w:vMerge w:val="continue"/>
                  <w:tcBorders>
                    <w:tl2br w:val="nil"/>
                    <w:tr2bl w:val="nil"/>
                  </w:tcBorders>
                  <w:noWrap/>
                  <w:vAlign w:val="center"/>
                </w:tcPr>
                <w:p w14:paraId="2DDA112C">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6E5DB32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4056A11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0475A41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3C9900CC">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7E0D4D7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2C7855A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3123F92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58F232B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4DBBB5B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72C6AAD6">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3ED2CF3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49EBEED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3CF56003">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0AEA4D3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5FC739F6">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29</w:t>
                  </w:r>
                </w:p>
              </w:tc>
              <w:tc>
                <w:tcPr>
                  <w:tcW w:w="815" w:type="dxa"/>
                  <w:vMerge w:val="continue"/>
                  <w:tcBorders>
                    <w:tl2br w:val="nil"/>
                    <w:tr2bl w:val="nil"/>
                  </w:tcBorders>
                  <w:noWrap/>
                  <w:vAlign w:val="center"/>
                </w:tcPr>
                <w:p w14:paraId="189E7192">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05721B4A">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0515BA7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5E92DED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0710766B">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1EB0865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614110FC">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72738A6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0EAD4AF0">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1CDFA79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598F240A">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0C7BE42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546CAFB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0469A037">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3165A94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31CB914A">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30</w:t>
                  </w:r>
                </w:p>
              </w:tc>
              <w:tc>
                <w:tcPr>
                  <w:tcW w:w="815" w:type="dxa"/>
                  <w:vMerge w:val="continue"/>
                  <w:tcBorders>
                    <w:tl2br w:val="nil"/>
                    <w:tr2bl w:val="nil"/>
                  </w:tcBorders>
                  <w:noWrap/>
                  <w:vAlign w:val="center"/>
                </w:tcPr>
                <w:p w14:paraId="216E46DC">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449DDD8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3AB636F9">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02771BE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75A07CA4">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535D6C4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59A7590E">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73C47D2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079330D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63892988">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0F85D916">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1C6222C6">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681E3CAB">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2408E766">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tr w14:paraId="131F17E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396" w:type="dxa"/>
                  <w:tcBorders>
                    <w:tl2br w:val="nil"/>
                    <w:tr2bl w:val="nil"/>
                  </w:tcBorders>
                  <w:noWrap/>
                  <w:vAlign w:val="center"/>
                </w:tcPr>
                <w:p w14:paraId="49946C60">
                  <w:pP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31</w:t>
                  </w:r>
                </w:p>
              </w:tc>
              <w:tc>
                <w:tcPr>
                  <w:tcW w:w="815" w:type="dxa"/>
                  <w:vMerge w:val="continue"/>
                  <w:tcBorders>
                    <w:tl2br w:val="nil"/>
                    <w:tr2bl w:val="nil"/>
                  </w:tcBorders>
                  <w:noWrap/>
                  <w:vAlign w:val="center"/>
                </w:tcPr>
                <w:p w14:paraId="11784060">
                  <w:pPr>
                    <w:bidi w:val="0"/>
                    <w:jc w:val="center"/>
                    <w:rPr>
                      <w:rFonts w:hint="default" w:ascii="Times New Roman" w:hAnsi="Times New Roman" w:cs="Times New Roman"/>
                      <w:color w:val="auto"/>
                      <w:highlight w:val="none"/>
                      <w:lang w:val="en-US" w:eastAsia="zh-CN"/>
                    </w:rPr>
                  </w:pPr>
                </w:p>
              </w:tc>
              <w:tc>
                <w:tcPr>
                  <w:tcW w:w="815" w:type="dxa"/>
                  <w:tcBorders>
                    <w:tl2br w:val="nil"/>
                    <w:tr2bl w:val="nil"/>
                  </w:tcBorders>
                  <w:noWrap/>
                  <w:vAlign w:val="center"/>
                </w:tcPr>
                <w:p w14:paraId="134171D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84" w:type="dxa"/>
                  <w:tcBorders>
                    <w:tl2br w:val="nil"/>
                    <w:tr2bl w:val="nil"/>
                  </w:tcBorders>
                  <w:noWrap w:val="0"/>
                  <w:vAlign w:val="center"/>
                </w:tcPr>
                <w:p w14:paraId="5EC5F6F5">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36" w:type="dxa"/>
                  <w:tcBorders>
                    <w:tl2br w:val="nil"/>
                    <w:tr2bl w:val="nil"/>
                  </w:tcBorders>
                  <w:noWrap/>
                  <w:vAlign w:val="center"/>
                </w:tcPr>
                <w:p w14:paraId="52DC1BA1">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147" w:type="dxa"/>
                  <w:vMerge w:val="continue"/>
                  <w:tcBorders>
                    <w:tl2br w:val="nil"/>
                    <w:tr2bl w:val="nil"/>
                  </w:tcBorders>
                  <w:noWrap/>
                  <w:vAlign w:val="center"/>
                </w:tcPr>
                <w:p w14:paraId="5F07E8C4">
                  <w:pPr>
                    <w:bidi w:val="0"/>
                    <w:jc w:val="center"/>
                    <w:rPr>
                      <w:rFonts w:hint="default" w:ascii="Times New Roman" w:hAnsi="Times New Roman" w:cs="Times New Roman"/>
                      <w:color w:val="auto"/>
                      <w:highlight w:val="none"/>
                    </w:rPr>
                  </w:pPr>
                </w:p>
              </w:tc>
              <w:tc>
                <w:tcPr>
                  <w:tcW w:w="328" w:type="dxa"/>
                  <w:tcBorders>
                    <w:tl2br w:val="nil"/>
                    <w:tr2bl w:val="nil"/>
                  </w:tcBorders>
                  <w:noWrap w:val="0"/>
                  <w:vAlign w:val="center"/>
                </w:tcPr>
                <w:p w14:paraId="5087B68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2" w:type="dxa"/>
                  <w:tcBorders>
                    <w:tl2br w:val="nil"/>
                    <w:tr2bl w:val="nil"/>
                  </w:tcBorders>
                  <w:noWrap w:val="0"/>
                  <w:vAlign w:val="center"/>
                </w:tcPr>
                <w:p w14:paraId="013F4B0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367" w:type="dxa"/>
                  <w:tcBorders>
                    <w:tl2br w:val="nil"/>
                    <w:tr2bl w:val="nil"/>
                  </w:tcBorders>
                  <w:noWrap w:val="0"/>
                  <w:vAlign w:val="center"/>
                </w:tcPr>
                <w:p w14:paraId="00ECD873">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4" w:type="dxa"/>
                  <w:tcBorders>
                    <w:tl2br w:val="nil"/>
                    <w:tr2bl w:val="nil"/>
                  </w:tcBorders>
                  <w:noWrap/>
                  <w:vAlign w:val="center"/>
                </w:tcPr>
                <w:p w14:paraId="17E45434">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53" w:type="dxa"/>
                  <w:tcBorders>
                    <w:tl2br w:val="nil"/>
                    <w:tr2bl w:val="nil"/>
                  </w:tcBorders>
                  <w:noWrap/>
                  <w:vAlign w:val="center"/>
                </w:tcPr>
                <w:p w14:paraId="2CEEF4AD">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293" w:type="dxa"/>
                  <w:tcBorders>
                    <w:tl2br w:val="nil"/>
                    <w:tr2bl w:val="nil"/>
                  </w:tcBorders>
                  <w:noWrap w:val="0"/>
                  <w:vAlign w:val="center"/>
                </w:tcPr>
                <w:p w14:paraId="29529B15">
                  <w:pPr>
                    <w:bidi w:val="0"/>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346" w:type="dxa"/>
                  <w:tcBorders>
                    <w:tl2br w:val="nil"/>
                    <w:tr2bl w:val="nil"/>
                  </w:tcBorders>
                  <w:noWrap w:val="0"/>
                  <w:vAlign w:val="center"/>
                </w:tcPr>
                <w:p w14:paraId="015F533F">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535" w:type="dxa"/>
                  <w:tcBorders>
                    <w:tl2br w:val="nil"/>
                    <w:tr2bl w:val="nil"/>
                  </w:tcBorders>
                  <w:noWrap w:val="0"/>
                  <w:vAlign w:val="center"/>
                </w:tcPr>
                <w:p w14:paraId="538C27B7">
                  <w:pPr>
                    <w:bidi w:val="0"/>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12" w:type="dxa"/>
                  <w:tcBorders>
                    <w:tl2br w:val="nil"/>
                    <w:tr2bl w:val="nil"/>
                  </w:tcBorders>
                  <w:noWrap w:val="0"/>
                  <w:vAlign w:val="center"/>
                </w:tcPr>
                <w:p w14:paraId="509FD16D">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r>
            <w:bookmarkEnd w:id="29"/>
            <w:bookmarkEnd w:id="30"/>
            <w:bookmarkEnd w:id="31"/>
            <w:bookmarkEnd w:id="32"/>
          </w:tbl>
          <w:p w14:paraId="10928441">
            <w:pP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注：表中坐标以厂界中心（119.41467874332.285700745）为坐标原点，正东向为X轴正方向，正北向为Y轴正方向。</w:t>
            </w:r>
          </w:p>
          <w:p w14:paraId="25C488E4">
            <w:pPr>
              <w:tabs>
                <w:tab w:val="left" w:pos="0"/>
              </w:tabs>
              <w:spacing w:line="240" w:lineRule="auto"/>
              <w:jc w:val="center"/>
              <w:outlineLvl w:val="0"/>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表4</w:t>
            </w:r>
            <w:r>
              <w:rPr>
                <w:rFonts w:hint="default" w:ascii="Times New Roman" w:hAnsi="Times New Roman" w:eastAsia="宋体" w:cs="Times New Roman"/>
                <w:b/>
                <w:bCs w:val="0"/>
                <w:color w:val="auto"/>
                <w:sz w:val="24"/>
                <w:szCs w:val="24"/>
                <w:highlight w:val="none"/>
                <w:lang w:val="en-US" w:eastAsia="zh-CN"/>
              </w:rPr>
              <w:t>.13</w:t>
            </w:r>
            <w:r>
              <w:rPr>
                <w:rFonts w:hint="default" w:ascii="Times New Roman" w:hAnsi="Times New Roman" w:eastAsia="宋体" w:cs="Times New Roman"/>
                <w:b/>
                <w:bCs w:val="0"/>
                <w:color w:val="auto"/>
                <w:sz w:val="24"/>
                <w:szCs w:val="24"/>
                <w:highlight w:val="none"/>
              </w:rPr>
              <w:t xml:space="preserve"> </w:t>
            </w:r>
            <w:r>
              <w:rPr>
                <w:rFonts w:hint="eastAsia" w:cs="Times New Roman"/>
                <w:b/>
                <w:bCs w:val="0"/>
                <w:color w:val="auto"/>
                <w:sz w:val="24"/>
                <w:szCs w:val="24"/>
                <w:highlight w:val="none"/>
                <w:lang w:val="en-US" w:eastAsia="zh-CN"/>
              </w:rPr>
              <w:t xml:space="preserve"> </w:t>
            </w:r>
            <w:r>
              <w:rPr>
                <w:rFonts w:hint="default" w:ascii="Times New Roman" w:hAnsi="Times New Roman" w:eastAsia="宋体" w:cs="Times New Roman"/>
                <w:b/>
                <w:bCs w:val="0"/>
                <w:color w:val="auto"/>
                <w:sz w:val="24"/>
                <w:szCs w:val="24"/>
                <w:highlight w:val="none"/>
              </w:rPr>
              <w:t>本项目噪声产生源强调查清单（室外声源）声源单位：dB(A)</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28" w:type="dxa"/>
                <w:bottom w:w="0" w:type="dxa"/>
                <w:right w:w="28" w:type="dxa"/>
              </w:tblCellMar>
            </w:tblPr>
            <w:tblGrid>
              <w:gridCol w:w="432"/>
              <w:gridCol w:w="1081"/>
              <w:gridCol w:w="958"/>
              <w:gridCol w:w="729"/>
              <w:gridCol w:w="719"/>
              <w:gridCol w:w="659"/>
              <w:gridCol w:w="1020"/>
              <w:gridCol w:w="1631"/>
              <w:gridCol w:w="884"/>
            </w:tblGrid>
            <w:tr w14:paraId="7ACF69C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266" w:type="pct"/>
                  <w:vMerge w:val="restart"/>
                  <w:tcBorders>
                    <w:tl2br w:val="nil"/>
                    <w:tr2bl w:val="nil"/>
                  </w:tcBorders>
                  <w:noWrap/>
                  <w:vAlign w:val="center"/>
                </w:tcPr>
                <w:p w14:paraId="1288D08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666" w:type="pct"/>
                  <w:vMerge w:val="restart"/>
                  <w:tcBorders>
                    <w:tl2br w:val="nil"/>
                    <w:tr2bl w:val="nil"/>
                  </w:tcBorders>
                  <w:noWrap/>
                  <w:vAlign w:val="center"/>
                </w:tcPr>
                <w:p w14:paraId="76949870">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声源名称</w:t>
                  </w:r>
                </w:p>
              </w:tc>
              <w:tc>
                <w:tcPr>
                  <w:tcW w:w="590" w:type="pct"/>
                  <w:vMerge w:val="restart"/>
                  <w:tcBorders>
                    <w:tl2br w:val="nil"/>
                    <w:tr2bl w:val="nil"/>
                  </w:tcBorders>
                  <w:noWrap/>
                  <w:vAlign w:val="center"/>
                </w:tcPr>
                <w:p w14:paraId="3694DBEB">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型号</w:t>
                  </w:r>
                </w:p>
              </w:tc>
              <w:tc>
                <w:tcPr>
                  <w:tcW w:w="1298" w:type="pct"/>
                  <w:gridSpan w:val="3"/>
                  <w:tcBorders>
                    <w:tl2br w:val="nil"/>
                    <w:tr2bl w:val="nil"/>
                  </w:tcBorders>
                  <w:noWrap w:val="0"/>
                  <w:vAlign w:val="center"/>
                </w:tcPr>
                <w:p w14:paraId="38CC029E">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空间相对位置[1]/m</w:t>
                  </w:r>
                </w:p>
              </w:tc>
              <w:tc>
                <w:tcPr>
                  <w:tcW w:w="628" w:type="pct"/>
                  <w:vMerge w:val="restart"/>
                  <w:tcBorders>
                    <w:tl2br w:val="nil"/>
                    <w:tr2bl w:val="nil"/>
                  </w:tcBorders>
                  <w:noWrap/>
                  <w:vAlign w:val="center"/>
                </w:tcPr>
                <w:p w14:paraId="5701A3C3">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声源源强</w:t>
                  </w:r>
                </w:p>
              </w:tc>
              <w:tc>
                <w:tcPr>
                  <w:tcW w:w="1004" w:type="pct"/>
                  <w:vMerge w:val="restart"/>
                  <w:tcBorders>
                    <w:tl2br w:val="nil"/>
                    <w:tr2bl w:val="nil"/>
                  </w:tcBorders>
                  <w:noWrap w:val="0"/>
                  <w:vAlign w:val="center"/>
                </w:tcPr>
                <w:p w14:paraId="2380EE1F">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声源控制措施</w:t>
                  </w:r>
                </w:p>
              </w:tc>
              <w:tc>
                <w:tcPr>
                  <w:tcW w:w="544" w:type="pct"/>
                  <w:vMerge w:val="restart"/>
                  <w:tcBorders>
                    <w:tl2br w:val="nil"/>
                    <w:tr2bl w:val="nil"/>
                  </w:tcBorders>
                  <w:noWrap w:val="0"/>
                  <w:vAlign w:val="center"/>
                </w:tcPr>
                <w:p w14:paraId="477B00FA">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运行时段</w:t>
                  </w:r>
                </w:p>
              </w:tc>
            </w:tr>
            <w:tr w14:paraId="422D732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266" w:type="pct"/>
                  <w:vMerge w:val="continue"/>
                  <w:tcBorders>
                    <w:tl2br w:val="nil"/>
                    <w:tr2bl w:val="nil"/>
                  </w:tcBorders>
                  <w:noWrap/>
                  <w:vAlign w:val="center"/>
                </w:tcPr>
                <w:p w14:paraId="30433939">
                  <w:pPr>
                    <w:jc w:val="center"/>
                    <w:rPr>
                      <w:rFonts w:hint="default" w:ascii="Times New Roman" w:hAnsi="Times New Roman" w:cs="Times New Roman"/>
                      <w:color w:val="auto"/>
                      <w:highlight w:val="none"/>
                    </w:rPr>
                  </w:pPr>
                </w:p>
              </w:tc>
              <w:tc>
                <w:tcPr>
                  <w:tcW w:w="666" w:type="pct"/>
                  <w:vMerge w:val="continue"/>
                  <w:tcBorders>
                    <w:tl2br w:val="nil"/>
                    <w:tr2bl w:val="nil"/>
                  </w:tcBorders>
                  <w:noWrap/>
                  <w:vAlign w:val="center"/>
                </w:tcPr>
                <w:p w14:paraId="7AE26EEB">
                  <w:pPr>
                    <w:jc w:val="center"/>
                    <w:rPr>
                      <w:rFonts w:hint="default" w:ascii="Times New Roman" w:hAnsi="Times New Roman" w:cs="Times New Roman"/>
                      <w:color w:val="auto"/>
                      <w:highlight w:val="none"/>
                    </w:rPr>
                  </w:pPr>
                </w:p>
              </w:tc>
              <w:tc>
                <w:tcPr>
                  <w:tcW w:w="590" w:type="pct"/>
                  <w:vMerge w:val="continue"/>
                  <w:tcBorders>
                    <w:tl2br w:val="nil"/>
                    <w:tr2bl w:val="nil"/>
                  </w:tcBorders>
                  <w:noWrap/>
                  <w:vAlign w:val="center"/>
                </w:tcPr>
                <w:p w14:paraId="24D47571">
                  <w:pPr>
                    <w:jc w:val="center"/>
                    <w:rPr>
                      <w:rFonts w:hint="default" w:ascii="Times New Roman" w:hAnsi="Times New Roman" w:cs="Times New Roman"/>
                      <w:color w:val="auto"/>
                      <w:highlight w:val="none"/>
                    </w:rPr>
                  </w:pPr>
                </w:p>
              </w:tc>
              <w:tc>
                <w:tcPr>
                  <w:tcW w:w="449" w:type="pct"/>
                  <w:tcBorders>
                    <w:tl2br w:val="nil"/>
                    <w:tr2bl w:val="nil"/>
                  </w:tcBorders>
                  <w:noWrap w:val="0"/>
                  <w:vAlign w:val="center"/>
                </w:tcPr>
                <w:p w14:paraId="2C005F5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X</w:t>
                  </w:r>
                </w:p>
              </w:tc>
              <w:tc>
                <w:tcPr>
                  <w:tcW w:w="443" w:type="pct"/>
                  <w:tcBorders>
                    <w:tl2br w:val="nil"/>
                    <w:tr2bl w:val="nil"/>
                  </w:tcBorders>
                  <w:noWrap w:val="0"/>
                  <w:vAlign w:val="center"/>
                </w:tcPr>
                <w:p w14:paraId="5CDC592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Y</w:t>
                  </w:r>
                </w:p>
              </w:tc>
              <w:tc>
                <w:tcPr>
                  <w:tcW w:w="406" w:type="pct"/>
                  <w:tcBorders>
                    <w:tl2br w:val="nil"/>
                    <w:tr2bl w:val="nil"/>
                  </w:tcBorders>
                  <w:noWrap w:val="0"/>
                  <w:vAlign w:val="center"/>
                </w:tcPr>
                <w:p w14:paraId="1BDBA92A">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Z</w:t>
                  </w:r>
                </w:p>
              </w:tc>
              <w:tc>
                <w:tcPr>
                  <w:tcW w:w="628" w:type="pct"/>
                  <w:vMerge w:val="continue"/>
                  <w:tcBorders>
                    <w:tl2br w:val="nil"/>
                    <w:tr2bl w:val="nil"/>
                  </w:tcBorders>
                  <w:noWrap/>
                  <w:vAlign w:val="center"/>
                </w:tcPr>
                <w:p w14:paraId="3137D733">
                  <w:pPr>
                    <w:jc w:val="center"/>
                    <w:rPr>
                      <w:rFonts w:hint="default" w:ascii="Times New Roman" w:hAnsi="Times New Roman" w:cs="Times New Roman"/>
                      <w:color w:val="auto"/>
                      <w:highlight w:val="none"/>
                    </w:rPr>
                  </w:pPr>
                </w:p>
              </w:tc>
              <w:tc>
                <w:tcPr>
                  <w:tcW w:w="1004" w:type="pct"/>
                  <w:vMerge w:val="continue"/>
                  <w:tcBorders>
                    <w:tl2br w:val="nil"/>
                    <w:tr2bl w:val="nil"/>
                  </w:tcBorders>
                  <w:noWrap w:val="0"/>
                  <w:vAlign w:val="center"/>
                </w:tcPr>
                <w:p w14:paraId="37F1C300">
                  <w:pPr>
                    <w:jc w:val="center"/>
                    <w:rPr>
                      <w:rFonts w:hint="default" w:ascii="Times New Roman" w:hAnsi="Times New Roman" w:cs="Times New Roman"/>
                      <w:color w:val="auto"/>
                      <w:highlight w:val="none"/>
                    </w:rPr>
                  </w:pPr>
                </w:p>
              </w:tc>
              <w:tc>
                <w:tcPr>
                  <w:tcW w:w="544" w:type="pct"/>
                  <w:vMerge w:val="continue"/>
                  <w:tcBorders>
                    <w:tl2br w:val="nil"/>
                    <w:tr2bl w:val="nil"/>
                  </w:tcBorders>
                  <w:noWrap w:val="0"/>
                  <w:vAlign w:val="center"/>
                </w:tcPr>
                <w:p w14:paraId="75FC0F6E">
                  <w:pPr>
                    <w:jc w:val="center"/>
                    <w:rPr>
                      <w:rFonts w:hint="default" w:ascii="Times New Roman" w:hAnsi="Times New Roman" w:cs="Times New Roman"/>
                      <w:color w:val="auto"/>
                      <w:highlight w:val="none"/>
                    </w:rPr>
                  </w:pPr>
                </w:p>
              </w:tc>
            </w:tr>
            <w:tr w14:paraId="066CDFD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7" w:hRule="atLeast"/>
                <w:jc w:val="center"/>
              </w:trPr>
              <w:tc>
                <w:tcPr>
                  <w:tcW w:w="266" w:type="pct"/>
                  <w:tcBorders>
                    <w:tl2br w:val="nil"/>
                    <w:tr2bl w:val="nil"/>
                  </w:tcBorders>
                  <w:noWrap/>
                  <w:vAlign w:val="center"/>
                </w:tcPr>
                <w:p w14:paraId="72AAD51C">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c>
                <w:tcPr>
                  <w:tcW w:w="666" w:type="pct"/>
                  <w:tcBorders>
                    <w:tl2br w:val="nil"/>
                    <w:tr2bl w:val="nil"/>
                  </w:tcBorders>
                  <w:noWrap/>
                  <w:vAlign w:val="center"/>
                </w:tcPr>
                <w:p w14:paraId="376FC406">
                  <w:pPr>
                    <w:autoSpaceDE/>
                    <w:autoSpaceDN/>
                    <w:adjustRightInd/>
                    <w:snapToGrid/>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风机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DA001</w:t>
                  </w:r>
                  <w:r>
                    <w:rPr>
                      <w:rFonts w:hint="default" w:ascii="Times New Roman" w:hAnsi="Times New Roman" w:cs="Times New Roman"/>
                      <w:color w:val="auto"/>
                      <w:highlight w:val="none"/>
                      <w:lang w:eastAsia="zh-CN"/>
                    </w:rPr>
                    <w:t>）</w:t>
                  </w:r>
                </w:p>
              </w:tc>
              <w:tc>
                <w:tcPr>
                  <w:tcW w:w="590" w:type="pct"/>
                  <w:tcBorders>
                    <w:tl2br w:val="nil"/>
                    <w:tr2bl w:val="nil"/>
                  </w:tcBorders>
                  <w:noWrap/>
                  <w:vAlign w:val="center"/>
                </w:tcPr>
                <w:p w14:paraId="17D67C22">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49" w:type="pct"/>
                  <w:tcBorders>
                    <w:tl2br w:val="nil"/>
                    <w:tr2bl w:val="nil"/>
                  </w:tcBorders>
                  <w:noWrap w:val="0"/>
                  <w:vAlign w:val="center"/>
                </w:tcPr>
                <w:p w14:paraId="06689C99">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43" w:type="pct"/>
                  <w:tcBorders>
                    <w:tl2br w:val="nil"/>
                    <w:tr2bl w:val="nil"/>
                  </w:tcBorders>
                  <w:noWrap w:val="0"/>
                  <w:vAlign w:val="center"/>
                </w:tcPr>
                <w:p w14:paraId="1DC3DB5C">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06" w:type="pct"/>
                  <w:tcBorders>
                    <w:tl2br w:val="nil"/>
                    <w:tr2bl w:val="nil"/>
                  </w:tcBorders>
                  <w:noWrap w:val="0"/>
                  <w:vAlign w:val="center"/>
                </w:tcPr>
                <w:p w14:paraId="65C54AE1">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8" w:type="pct"/>
                  <w:tcBorders>
                    <w:tl2br w:val="nil"/>
                    <w:tr2bl w:val="nil"/>
                  </w:tcBorders>
                  <w:noWrap/>
                  <w:vAlign w:val="center"/>
                </w:tcPr>
                <w:p w14:paraId="1CC18CE6">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04" w:type="pct"/>
                  <w:tcBorders>
                    <w:tl2br w:val="nil"/>
                    <w:tr2bl w:val="nil"/>
                  </w:tcBorders>
                  <w:noWrap w:val="0"/>
                  <w:vAlign w:val="center"/>
                </w:tcPr>
                <w:p w14:paraId="3A481C1F">
                  <w:pPr>
                    <w:kinsoku/>
                    <w:overflowPunct/>
                    <w:autoSpaceDE/>
                    <w:autoSpaceDN/>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减振基础、厂界绿化</w:t>
                  </w:r>
                </w:p>
              </w:tc>
              <w:tc>
                <w:tcPr>
                  <w:tcW w:w="544" w:type="pct"/>
                  <w:tcBorders>
                    <w:tl2br w:val="nil"/>
                    <w:tr2bl w:val="nil"/>
                  </w:tcBorders>
                  <w:noWrap w:val="0"/>
                  <w:vAlign w:val="center"/>
                </w:tcPr>
                <w:p w14:paraId="01DCB660">
                  <w:pPr>
                    <w:kinsoku/>
                    <w:overflowPunct/>
                    <w:autoSpaceDE/>
                    <w:autoSpaceDN/>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300天8h</w:t>
                  </w:r>
                </w:p>
              </w:tc>
            </w:tr>
            <w:tr w14:paraId="0BC848B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7" w:hRule="atLeast"/>
                <w:jc w:val="center"/>
              </w:trPr>
              <w:tc>
                <w:tcPr>
                  <w:tcW w:w="266" w:type="pct"/>
                  <w:tcBorders>
                    <w:tl2br w:val="nil"/>
                    <w:tr2bl w:val="nil"/>
                  </w:tcBorders>
                  <w:noWrap/>
                  <w:vAlign w:val="center"/>
                </w:tcPr>
                <w:p w14:paraId="3A15EFC3">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p>
              </w:tc>
              <w:tc>
                <w:tcPr>
                  <w:tcW w:w="666" w:type="pct"/>
                  <w:tcBorders>
                    <w:tl2br w:val="nil"/>
                    <w:tr2bl w:val="nil"/>
                  </w:tcBorders>
                  <w:noWrap/>
                  <w:vAlign w:val="center"/>
                </w:tcPr>
                <w:p w14:paraId="261886D3">
                  <w:pPr>
                    <w:autoSpaceDE/>
                    <w:autoSpaceDN/>
                    <w:adjustRightInd/>
                    <w:snapToGrid/>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风机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DA002</w:t>
                  </w:r>
                  <w:r>
                    <w:rPr>
                      <w:rFonts w:hint="default" w:ascii="Times New Roman" w:hAnsi="Times New Roman" w:cs="Times New Roman"/>
                      <w:color w:val="auto"/>
                      <w:highlight w:val="none"/>
                      <w:lang w:eastAsia="zh-CN"/>
                    </w:rPr>
                    <w:t>）</w:t>
                  </w:r>
                </w:p>
              </w:tc>
              <w:tc>
                <w:tcPr>
                  <w:tcW w:w="590" w:type="pct"/>
                  <w:tcBorders>
                    <w:tl2br w:val="nil"/>
                    <w:tr2bl w:val="nil"/>
                  </w:tcBorders>
                  <w:noWrap/>
                  <w:vAlign w:val="center"/>
                </w:tcPr>
                <w:p w14:paraId="7D96F62D">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49" w:type="pct"/>
                  <w:tcBorders>
                    <w:tl2br w:val="nil"/>
                    <w:tr2bl w:val="nil"/>
                  </w:tcBorders>
                  <w:noWrap w:val="0"/>
                  <w:vAlign w:val="center"/>
                </w:tcPr>
                <w:p w14:paraId="77758786">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43" w:type="pct"/>
                  <w:tcBorders>
                    <w:tl2br w:val="nil"/>
                    <w:tr2bl w:val="nil"/>
                  </w:tcBorders>
                  <w:noWrap w:val="0"/>
                  <w:vAlign w:val="center"/>
                </w:tcPr>
                <w:p w14:paraId="2219E399">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06" w:type="pct"/>
                  <w:tcBorders>
                    <w:tl2br w:val="nil"/>
                    <w:tr2bl w:val="nil"/>
                  </w:tcBorders>
                  <w:noWrap w:val="0"/>
                  <w:vAlign w:val="center"/>
                </w:tcPr>
                <w:p w14:paraId="4DF7DBF5">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8" w:type="pct"/>
                  <w:tcBorders>
                    <w:tl2br w:val="nil"/>
                    <w:tr2bl w:val="nil"/>
                  </w:tcBorders>
                  <w:noWrap/>
                  <w:vAlign w:val="center"/>
                </w:tcPr>
                <w:p w14:paraId="1767D82E">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04" w:type="pct"/>
                  <w:tcBorders>
                    <w:tl2br w:val="nil"/>
                    <w:tr2bl w:val="nil"/>
                  </w:tcBorders>
                  <w:noWrap w:val="0"/>
                  <w:vAlign w:val="center"/>
                </w:tcPr>
                <w:p w14:paraId="466415E8">
                  <w:pPr>
                    <w:kinsoku/>
                    <w:overflowPunct/>
                    <w:autoSpaceDE/>
                    <w:autoSpaceDN/>
                    <w:jc w:val="center"/>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减振基础、厂界绿化</w:t>
                  </w:r>
                </w:p>
              </w:tc>
              <w:tc>
                <w:tcPr>
                  <w:tcW w:w="544" w:type="pct"/>
                  <w:tcBorders>
                    <w:tl2br w:val="nil"/>
                    <w:tr2bl w:val="nil"/>
                  </w:tcBorders>
                  <w:noWrap w:val="0"/>
                  <w:vAlign w:val="center"/>
                </w:tcPr>
                <w:p w14:paraId="502907F3">
                  <w:pPr>
                    <w:kinsoku/>
                    <w:overflowPunct/>
                    <w:autoSpaceDE/>
                    <w:autoSpaceDN/>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300天8h</w:t>
                  </w:r>
                </w:p>
              </w:tc>
            </w:tr>
            <w:tr w14:paraId="7839381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7" w:hRule="atLeast"/>
                <w:jc w:val="center"/>
              </w:trPr>
              <w:tc>
                <w:tcPr>
                  <w:tcW w:w="266" w:type="pct"/>
                  <w:tcBorders>
                    <w:tl2br w:val="nil"/>
                    <w:tr2bl w:val="nil"/>
                  </w:tcBorders>
                  <w:noWrap/>
                  <w:vAlign w:val="center"/>
                </w:tcPr>
                <w:p w14:paraId="0878D1AA">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p>
              </w:tc>
              <w:tc>
                <w:tcPr>
                  <w:tcW w:w="666" w:type="pct"/>
                  <w:tcBorders>
                    <w:tl2br w:val="nil"/>
                    <w:tr2bl w:val="nil"/>
                  </w:tcBorders>
                  <w:noWrap/>
                  <w:vAlign w:val="center"/>
                </w:tcPr>
                <w:p w14:paraId="1152CD8C">
                  <w:pPr>
                    <w:autoSpaceDE/>
                    <w:autoSpaceDN/>
                    <w:adjustRightInd/>
                    <w:snapToGrid/>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风机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DA003</w:t>
                  </w:r>
                  <w:r>
                    <w:rPr>
                      <w:rFonts w:hint="default" w:ascii="Times New Roman" w:hAnsi="Times New Roman" w:cs="Times New Roman"/>
                      <w:color w:val="auto"/>
                      <w:highlight w:val="none"/>
                      <w:lang w:eastAsia="zh-CN"/>
                    </w:rPr>
                    <w:t>）</w:t>
                  </w:r>
                </w:p>
              </w:tc>
              <w:tc>
                <w:tcPr>
                  <w:tcW w:w="590" w:type="pct"/>
                  <w:tcBorders>
                    <w:tl2br w:val="nil"/>
                    <w:tr2bl w:val="nil"/>
                  </w:tcBorders>
                  <w:noWrap/>
                  <w:vAlign w:val="center"/>
                </w:tcPr>
                <w:p w14:paraId="53398CE5">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49" w:type="pct"/>
                  <w:tcBorders>
                    <w:tl2br w:val="nil"/>
                    <w:tr2bl w:val="nil"/>
                  </w:tcBorders>
                  <w:noWrap w:val="0"/>
                  <w:vAlign w:val="center"/>
                </w:tcPr>
                <w:p w14:paraId="3311C25B">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43" w:type="pct"/>
                  <w:tcBorders>
                    <w:tl2br w:val="nil"/>
                    <w:tr2bl w:val="nil"/>
                  </w:tcBorders>
                  <w:noWrap w:val="0"/>
                  <w:vAlign w:val="center"/>
                </w:tcPr>
                <w:p w14:paraId="51EFF895">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06" w:type="pct"/>
                  <w:tcBorders>
                    <w:tl2br w:val="nil"/>
                    <w:tr2bl w:val="nil"/>
                  </w:tcBorders>
                  <w:noWrap w:val="0"/>
                  <w:vAlign w:val="center"/>
                </w:tcPr>
                <w:p w14:paraId="6C71C68F">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8" w:type="pct"/>
                  <w:tcBorders>
                    <w:tl2br w:val="nil"/>
                    <w:tr2bl w:val="nil"/>
                  </w:tcBorders>
                  <w:noWrap/>
                  <w:vAlign w:val="center"/>
                </w:tcPr>
                <w:p w14:paraId="4A038AF4">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04" w:type="pct"/>
                  <w:tcBorders>
                    <w:tl2br w:val="nil"/>
                    <w:tr2bl w:val="nil"/>
                  </w:tcBorders>
                  <w:noWrap w:val="0"/>
                  <w:vAlign w:val="center"/>
                </w:tcPr>
                <w:p w14:paraId="563E6E3B">
                  <w:pPr>
                    <w:kinsoku/>
                    <w:overflowPunct/>
                    <w:autoSpaceDE/>
                    <w:autoSpaceDN/>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减振基础、厂界绿化</w:t>
                  </w:r>
                </w:p>
              </w:tc>
              <w:tc>
                <w:tcPr>
                  <w:tcW w:w="544" w:type="pct"/>
                  <w:tcBorders>
                    <w:tl2br w:val="nil"/>
                    <w:tr2bl w:val="nil"/>
                  </w:tcBorders>
                  <w:noWrap w:val="0"/>
                  <w:vAlign w:val="center"/>
                </w:tcPr>
                <w:p w14:paraId="177110E3">
                  <w:pPr>
                    <w:kinsoku/>
                    <w:overflowPunct/>
                    <w:autoSpaceDE/>
                    <w:autoSpaceDN/>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300天24h</w:t>
                  </w:r>
                </w:p>
              </w:tc>
            </w:tr>
            <w:tr w14:paraId="7F5ADA4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57" w:hRule="atLeast"/>
                <w:jc w:val="center"/>
              </w:trPr>
              <w:tc>
                <w:tcPr>
                  <w:tcW w:w="266" w:type="pct"/>
                  <w:tcBorders>
                    <w:tl2br w:val="nil"/>
                    <w:tr2bl w:val="nil"/>
                  </w:tcBorders>
                  <w:noWrap/>
                  <w:vAlign w:val="center"/>
                </w:tcPr>
                <w:p w14:paraId="72261E86">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p>
              </w:tc>
              <w:tc>
                <w:tcPr>
                  <w:tcW w:w="666" w:type="pct"/>
                  <w:tcBorders>
                    <w:tl2br w:val="nil"/>
                    <w:tr2bl w:val="nil"/>
                  </w:tcBorders>
                  <w:noWrap/>
                  <w:vAlign w:val="center"/>
                </w:tcPr>
                <w:p w14:paraId="75BBEA12">
                  <w:pPr>
                    <w:autoSpaceDE/>
                    <w:autoSpaceDN/>
                    <w:adjustRightInd/>
                    <w:snapToGrid/>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循环泵</w:t>
                  </w:r>
                </w:p>
              </w:tc>
              <w:tc>
                <w:tcPr>
                  <w:tcW w:w="590" w:type="pct"/>
                  <w:tcBorders>
                    <w:tl2br w:val="nil"/>
                    <w:tr2bl w:val="nil"/>
                  </w:tcBorders>
                  <w:noWrap/>
                  <w:vAlign w:val="center"/>
                </w:tcPr>
                <w:p w14:paraId="68E674DB">
                  <w:pPr>
                    <w:kinsoku/>
                    <w:overflowPunct/>
                    <w:autoSpaceDE/>
                    <w:autoSpaceDN/>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449" w:type="pct"/>
                  <w:tcBorders>
                    <w:tl2br w:val="nil"/>
                    <w:tr2bl w:val="nil"/>
                  </w:tcBorders>
                  <w:noWrap w:val="0"/>
                  <w:vAlign w:val="center"/>
                </w:tcPr>
                <w:p w14:paraId="27F9EA72">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43" w:type="pct"/>
                  <w:tcBorders>
                    <w:tl2br w:val="nil"/>
                    <w:tr2bl w:val="nil"/>
                  </w:tcBorders>
                  <w:noWrap w:val="0"/>
                  <w:vAlign w:val="center"/>
                </w:tcPr>
                <w:p w14:paraId="2AA61A4E">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406" w:type="pct"/>
                  <w:tcBorders>
                    <w:tl2br w:val="nil"/>
                    <w:tr2bl w:val="nil"/>
                  </w:tcBorders>
                  <w:noWrap w:val="0"/>
                  <w:vAlign w:val="center"/>
                </w:tcPr>
                <w:p w14:paraId="0D343A31">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628" w:type="pct"/>
                  <w:tcBorders>
                    <w:tl2br w:val="nil"/>
                    <w:tr2bl w:val="nil"/>
                  </w:tcBorders>
                  <w:noWrap/>
                  <w:vAlign w:val="center"/>
                </w:tcPr>
                <w:p w14:paraId="72437415">
                  <w:pPr>
                    <w:kinsoku/>
                    <w:overflowPunct/>
                    <w:autoSpaceDE/>
                    <w:autoSpaceDN/>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04" w:type="pct"/>
                  <w:tcBorders>
                    <w:tl2br w:val="nil"/>
                    <w:tr2bl w:val="nil"/>
                  </w:tcBorders>
                  <w:noWrap w:val="0"/>
                  <w:vAlign w:val="center"/>
                </w:tcPr>
                <w:p w14:paraId="5CCFC437">
                  <w:pPr>
                    <w:kinsoku/>
                    <w:overflowPunct/>
                    <w:autoSpaceDE/>
                    <w:autoSpaceDN/>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减振基础、厂界绿化</w:t>
                  </w:r>
                </w:p>
              </w:tc>
              <w:tc>
                <w:tcPr>
                  <w:tcW w:w="544" w:type="pct"/>
                  <w:tcBorders>
                    <w:tl2br w:val="nil"/>
                    <w:tr2bl w:val="nil"/>
                  </w:tcBorders>
                  <w:noWrap w:val="0"/>
                  <w:vAlign w:val="center"/>
                </w:tcPr>
                <w:p w14:paraId="6C0D6607">
                  <w:pPr>
                    <w:kinsoku/>
                    <w:overflowPunct/>
                    <w:autoSpaceDE/>
                    <w:autoSpaceDN/>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300天2h</w:t>
                  </w:r>
                </w:p>
              </w:tc>
            </w:tr>
          </w:tbl>
          <w:p w14:paraId="678C4517">
            <w:pPr>
              <w:keepNext w:val="0"/>
              <w:keepLines w:val="0"/>
              <w:pageBreakBefore w:val="0"/>
              <w:widowControl/>
              <w:kinsoku/>
              <w:wordWrap/>
              <w:overflowPunct/>
              <w:topLinePunct w:val="0"/>
              <w:autoSpaceDE/>
              <w:autoSpaceDN/>
              <w:bidi w:val="0"/>
              <w:adjustRightInd/>
              <w:snapToGrid/>
              <w:spacing w:after="0" w:afterLines="0" w:line="360" w:lineRule="auto"/>
              <w:ind w:firstLine="420" w:firstLineChars="200"/>
              <w:jc w:val="left"/>
              <w:textAlignment w:val="auto"/>
              <w:rPr>
                <w:rFonts w:hint="default" w:ascii="Times New Roman" w:hAnsi="Times New Roman" w:eastAsia="宋体" w:cs="Times New Roman"/>
                <w:b w:val="0"/>
                <w:bCs w:val="0"/>
                <w:color w:val="auto"/>
                <w:kern w:val="2"/>
                <w:sz w:val="22"/>
                <w:szCs w:val="22"/>
                <w:highlight w:val="none"/>
              </w:rPr>
            </w:pPr>
            <w:r>
              <w:rPr>
                <w:rFonts w:hint="default" w:ascii="Times New Roman" w:hAnsi="Times New Roman" w:eastAsia="宋体" w:cs="Times New Roman"/>
                <w:b w:val="0"/>
                <w:bCs w:val="0"/>
                <w:color w:val="auto"/>
                <w:kern w:val="2"/>
                <w:sz w:val="21"/>
                <w:szCs w:val="21"/>
                <w:highlight w:val="none"/>
              </w:rPr>
              <w:t>备注</w:t>
            </w:r>
            <w:r>
              <w:rPr>
                <w:rFonts w:hint="default" w:ascii="Times New Roman" w:hAnsi="Times New Roman" w:eastAsia="宋体" w:cs="Times New Roman"/>
                <w:b w:val="0"/>
                <w:bCs w:val="0"/>
                <w:color w:val="auto"/>
                <w:kern w:val="0"/>
                <w:sz w:val="21"/>
                <w:szCs w:val="21"/>
                <w:highlight w:val="none"/>
                <w:vertAlign w:val="baseline"/>
              </w:rPr>
              <w:t>[1]</w:t>
            </w:r>
            <w:r>
              <w:rPr>
                <w:rFonts w:hint="default" w:ascii="Times New Roman" w:hAnsi="Times New Roman" w:eastAsia="宋体" w:cs="Times New Roman"/>
                <w:b w:val="0"/>
                <w:bCs w:val="0"/>
                <w:color w:val="auto"/>
                <w:kern w:val="2"/>
                <w:sz w:val="21"/>
                <w:szCs w:val="21"/>
                <w:highlight w:val="none"/>
              </w:rPr>
              <w:t>：</w:t>
            </w:r>
            <w:r>
              <w:rPr>
                <w:rFonts w:hint="default" w:ascii="Times New Roman" w:hAnsi="Times New Roman" w:eastAsia="宋体" w:cs="Times New Roman"/>
                <w:b w:val="0"/>
                <w:bCs w:val="0"/>
                <w:color w:val="auto"/>
                <w:kern w:val="2"/>
                <w:sz w:val="21"/>
                <w:szCs w:val="21"/>
                <w:highlight w:val="none"/>
                <w:lang w:val="en-US" w:eastAsia="zh-CN"/>
              </w:rPr>
              <w:t>以</w:t>
            </w:r>
            <w:r>
              <w:rPr>
                <w:rFonts w:hint="default" w:ascii="Times New Roman" w:hAnsi="Times New Roman" w:eastAsia="宋体" w:cs="Times New Roman"/>
                <w:b w:val="0"/>
                <w:bCs w:val="0"/>
                <w:color w:val="auto"/>
                <w:kern w:val="2"/>
                <w:sz w:val="21"/>
                <w:szCs w:val="21"/>
                <w:highlight w:val="none"/>
              </w:rPr>
              <w:t>项目</w:t>
            </w:r>
            <w:r>
              <w:rPr>
                <w:rFonts w:hint="default" w:ascii="Times New Roman" w:hAnsi="Times New Roman" w:eastAsia="宋体" w:cs="Times New Roman"/>
                <w:b w:val="0"/>
                <w:bCs w:val="0"/>
                <w:color w:val="auto"/>
                <w:kern w:val="2"/>
                <w:sz w:val="21"/>
                <w:szCs w:val="21"/>
                <w:highlight w:val="none"/>
                <w:lang w:val="en-US" w:eastAsia="zh-CN"/>
              </w:rPr>
              <w:t>生产厂房</w:t>
            </w:r>
            <w:r>
              <w:rPr>
                <w:rFonts w:hint="default" w:ascii="Times New Roman" w:hAnsi="Times New Roman" w:cs="Times New Roman"/>
                <w:b w:val="0"/>
                <w:bCs w:val="0"/>
                <w:color w:val="auto"/>
                <w:kern w:val="2"/>
                <w:sz w:val="21"/>
                <w:szCs w:val="21"/>
                <w:highlight w:val="none"/>
                <w:lang w:val="en-US" w:eastAsia="zh-CN"/>
              </w:rPr>
              <w:t>的</w:t>
            </w:r>
            <w:r>
              <w:rPr>
                <w:rFonts w:hint="default" w:ascii="Times New Roman" w:hAnsi="Times New Roman" w:eastAsia="宋体" w:cs="Times New Roman"/>
                <w:b w:val="0"/>
                <w:bCs w:val="0"/>
                <w:color w:val="auto"/>
                <w:kern w:val="2"/>
                <w:sz w:val="21"/>
                <w:szCs w:val="21"/>
                <w:highlight w:val="none"/>
                <w:lang w:val="en-US" w:eastAsia="zh-CN"/>
              </w:rPr>
              <w:t>西南角点为原点</w:t>
            </w:r>
            <w:r>
              <w:rPr>
                <w:rFonts w:hint="default" w:ascii="Times New Roman" w:hAnsi="Times New Roman" w:eastAsia="宋体" w:cs="Times New Roman"/>
                <w:b w:val="0"/>
                <w:bCs w:val="0"/>
                <w:color w:val="auto"/>
                <w:kern w:val="2"/>
                <w:sz w:val="21"/>
                <w:szCs w:val="21"/>
                <w:highlight w:val="none"/>
              </w:rPr>
              <w:t>（0</w:t>
            </w:r>
            <w:r>
              <w:rPr>
                <w:rFonts w:hint="default" w:ascii="Times New Roman" w:hAnsi="Times New Roman" w:eastAsia="宋体" w:cs="Times New Roman"/>
                <w:b w:val="0"/>
                <w:bCs w:val="0"/>
                <w:color w:val="auto"/>
                <w:kern w:val="2"/>
                <w:sz w:val="21"/>
                <w:szCs w:val="21"/>
                <w:highlight w:val="none"/>
                <w:lang w:eastAsia="zh-CN"/>
              </w:rPr>
              <w:t>，</w:t>
            </w:r>
            <w:r>
              <w:rPr>
                <w:rFonts w:hint="default" w:ascii="Times New Roman" w:hAnsi="Times New Roman" w:eastAsia="宋体" w:cs="Times New Roman"/>
                <w:b w:val="0"/>
                <w:bCs w:val="0"/>
                <w:color w:val="auto"/>
                <w:kern w:val="2"/>
                <w:sz w:val="21"/>
                <w:szCs w:val="21"/>
                <w:highlight w:val="none"/>
              </w:rPr>
              <w:t>0），东向为X轴正方向，北向为Y轴正方向</w:t>
            </w:r>
            <w:r>
              <w:rPr>
                <w:rFonts w:hint="default" w:ascii="Times New Roman" w:hAnsi="Times New Roman" w:eastAsia="宋体" w:cs="Times New Roman"/>
                <w:b w:val="0"/>
                <w:bCs w:val="0"/>
                <w:color w:val="auto"/>
                <w:kern w:val="2"/>
                <w:sz w:val="22"/>
                <w:szCs w:val="22"/>
                <w:highlight w:val="none"/>
              </w:rPr>
              <w:t>。</w:t>
            </w:r>
          </w:p>
          <w:p w14:paraId="3E0D990B">
            <w:pPr>
              <w:adjustRightInd w:val="0"/>
              <w:snapToGrid w:val="0"/>
              <w:spacing w:line="360" w:lineRule="auto"/>
              <w:ind w:firstLine="482" w:firstLineChars="200"/>
              <w:jc w:val="left"/>
              <w:rPr>
                <w:rFonts w:hint="default" w:ascii="Times New Roman" w:hAnsi="Times New Roman" w:eastAsia="新宋体" w:cs="Times New Roman"/>
                <w:b/>
                <w:bCs/>
                <w:color w:val="auto"/>
                <w:sz w:val="24"/>
                <w:highlight w:val="none"/>
              </w:rPr>
            </w:pPr>
            <w:r>
              <w:rPr>
                <w:rFonts w:hint="default" w:ascii="Times New Roman" w:hAnsi="Times New Roman" w:eastAsia="新宋体" w:cs="Times New Roman"/>
                <w:b/>
                <w:bCs/>
                <w:color w:val="auto"/>
                <w:sz w:val="24"/>
                <w:highlight w:val="none"/>
              </w:rPr>
              <w:t>3.2防治措施</w:t>
            </w:r>
          </w:p>
          <w:p w14:paraId="29C7CC3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1.控制设备噪声</w:t>
            </w:r>
          </w:p>
          <w:p w14:paraId="510E737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设备选型时选用先进的低噪声设备，在满足工艺设计的前提下，尽量选用满足国际标准的低噪声、低振动型号的设备，降低噪声源强。建立设备定期维护、保养的管理制度，以防止设备故障形成的非正常生产噪声，同时确保环保措施发挥最有效的功能。</w:t>
            </w:r>
          </w:p>
          <w:p w14:paraId="4A24C11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2.设备减振、隔声</w:t>
            </w:r>
          </w:p>
          <w:p w14:paraId="52245A2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对生产厂房内的各项设备在机组与地基之间安置减振底座，可以降噪约10～15dB（A）左右。各类生产设备均安置在室内，利用建筑隔声，防止噪声的扩散和传播，降噪量约10dB（A）左右。</w:t>
            </w:r>
          </w:p>
          <w:p w14:paraId="044D0B1D">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3.加强建筑物隔声措施</w:t>
            </w:r>
          </w:p>
          <w:p w14:paraId="61A0D68A">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对于室外设备，利用围墙、厂房阻隔，有效利用建筑隔声，防止噪声的扩散和传播，采取隔声措施，降噪量约10～15dB(A)左右。</w:t>
            </w:r>
          </w:p>
          <w:p w14:paraId="2E9CE367">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4.强化生产管理</w:t>
            </w:r>
          </w:p>
          <w:p w14:paraId="7CC364E7">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确保各类防治措施有效运行，各设备均保持良好运行状态，防止突发噪声。</w:t>
            </w:r>
          </w:p>
          <w:p w14:paraId="4685EB2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5.合理布局</w:t>
            </w:r>
          </w:p>
          <w:p w14:paraId="594BD407">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在生产厂房二的</w:t>
            </w:r>
            <w:r>
              <w:rPr>
                <w:rFonts w:hint="eastAsia" w:cs="Times New Roman"/>
                <w:color w:val="auto"/>
                <w:sz w:val="24"/>
                <w:highlight w:val="none"/>
                <w:lang w:val="en-US" w:eastAsia="zh-CN"/>
              </w:rPr>
              <w:t>生产实验</w:t>
            </w:r>
            <w:r>
              <w:rPr>
                <w:rFonts w:hint="default" w:ascii="Times New Roman" w:hAnsi="Times New Roman" w:cs="Times New Roman"/>
                <w:color w:val="auto"/>
                <w:sz w:val="24"/>
                <w:highlight w:val="none"/>
                <w:lang w:val="en-US" w:eastAsia="zh-CN"/>
              </w:rPr>
              <w:t>设备</w:t>
            </w:r>
            <w:r>
              <w:rPr>
                <w:rFonts w:hint="default" w:ascii="Times New Roman" w:hAnsi="Times New Roman" w:cs="Times New Roman"/>
                <w:color w:val="auto"/>
                <w:sz w:val="24"/>
                <w:highlight w:val="none"/>
              </w:rPr>
              <w:t>布置中</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尽可能将高噪声</w:t>
            </w:r>
            <w:r>
              <w:rPr>
                <w:rFonts w:hint="eastAsia" w:cs="Times New Roman"/>
                <w:color w:val="auto"/>
                <w:sz w:val="24"/>
                <w:highlight w:val="none"/>
                <w:lang w:val="en-US" w:eastAsia="zh-CN"/>
              </w:rPr>
              <w:t>设备</w:t>
            </w:r>
            <w:r>
              <w:rPr>
                <w:rFonts w:hint="default" w:ascii="Times New Roman" w:hAnsi="Times New Roman" w:cs="Times New Roman"/>
                <w:color w:val="auto"/>
                <w:sz w:val="24"/>
                <w:highlight w:val="none"/>
              </w:rPr>
              <w:t>布置在中央，其他噪声源亦尽可能远离</w:t>
            </w:r>
            <w:r>
              <w:rPr>
                <w:rFonts w:hint="default" w:ascii="Times New Roman" w:hAnsi="Times New Roman" w:cs="Times New Roman"/>
                <w:color w:val="auto"/>
                <w:sz w:val="24"/>
                <w:highlight w:val="none"/>
                <w:lang w:val="en-US" w:eastAsia="zh-CN"/>
              </w:rPr>
              <w:t>厂房边界</w:t>
            </w:r>
            <w:r>
              <w:rPr>
                <w:rFonts w:hint="default" w:ascii="Times New Roman" w:hAnsi="Times New Roman" w:cs="Times New Roman"/>
                <w:color w:val="auto"/>
                <w:sz w:val="24"/>
                <w:highlight w:val="none"/>
              </w:rPr>
              <w:t>以减轻对外界环境的影响。</w:t>
            </w:r>
          </w:p>
          <w:p w14:paraId="02ACE8C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6.加强运输过程中的噪声污染防治</w:t>
            </w:r>
          </w:p>
          <w:p w14:paraId="08DB1F2F">
            <w:pPr>
              <w:adjustRightInd w:val="0"/>
              <w:snapToGrid w:val="0"/>
              <w:spacing w:line="360" w:lineRule="auto"/>
              <w:ind w:firstLine="480" w:firstLineChars="200"/>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sz w:val="24"/>
                <w:highlight w:val="none"/>
              </w:rPr>
              <w:t>加强对运输过程中噪声污染的防控，尽量避免夜间运输发生噪声扰民现象，严格按照道路限速、禁止鸣笛等指示标志要求，降低运输过程的噪声，则运输噪声带来的环境影响在可接受范围内。</w:t>
            </w:r>
          </w:p>
          <w:p w14:paraId="0E2F3CB7">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kern w:val="0"/>
                <w:sz w:val="24"/>
                <w:highlight w:val="none"/>
                <w:lang w:bidi="ar"/>
              </w:rPr>
              <w:t>3.3</w:t>
            </w:r>
            <w:r>
              <w:rPr>
                <w:rFonts w:hint="default" w:ascii="Times New Roman" w:hAnsi="Times New Roman" w:cs="Times New Roman"/>
                <w:b/>
                <w:bCs/>
                <w:color w:val="auto"/>
                <w:sz w:val="24"/>
                <w:highlight w:val="none"/>
              </w:rPr>
              <w:t>噪声环境影响分析</w:t>
            </w:r>
          </w:p>
          <w:p w14:paraId="0EAD1302">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采用《环境影响评价技术导则 声环境》（HJ 2.4-2021）中的方法预测设备的声功率预测计算各评价点处的噪声增量。</w:t>
            </w:r>
          </w:p>
          <w:p w14:paraId="40578356">
            <w:pPr>
              <w:pStyle w:val="37"/>
              <w:bidi w:val="0"/>
              <w:rPr>
                <w:rFonts w:hint="default" w:ascii="Times New Roman" w:hAnsi="Times New Roman" w:cs="Times New Roman"/>
              </w:rPr>
            </w:pPr>
            <w:r>
              <w:rPr>
                <w:rFonts w:hint="default" w:ascii="Times New Roman" w:hAnsi="Times New Roman" w:cs="Times New Roman"/>
              </w:rPr>
              <w:t>表4.1</w:t>
            </w:r>
            <w:r>
              <w:rPr>
                <w:rFonts w:hint="default" w:ascii="Times New Roman" w:hAnsi="Times New Roman" w:cs="Times New Roman"/>
                <w:lang w:val="en-US" w:eastAsia="zh-CN"/>
              </w:rPr>
              <w:t>4</w:t>
            </w:r>
            <w:r>
              <w:rPr>
                <w:rFonts w:hint="default" w:ascii="Times New Roman" w:hAnsi="Times New Roman" w:cs="Times New Roman"/>
              </w:rPr>
              <w:t xml:space="preserve">  对各厂界噪声的预测结果（dB（A））</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840"/>
              <w:gridCol w:w="1411"/>
              <w:gridCol w:w="1411"/>
              <w:gridCol w:w="1411"/>
              <w:gridCol w:w="1415"/>
            </w:tblGrid>
            <w:tr w14:paraId="64A6B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gridSpan w:val="2"/>
                  <w:vAlign w:val="center"/>
                </w:tcPr>
                <w:p w14:paraId="42536A54">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测点</w:t>
                  </w:r>
                </w:p>
              </w:tc>
              <w:tc>
                <w:tcPr>
                  <w:tcW w:w="1430" w:type="dxa"/>
                  <w:vAlign w:val="center"/>
                </w:tcPr>
                <w:p w14:paraId="4353BF0B">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东</w:t>
                  </w:r>
                </w:p>
              </w:tc>
              <w:tc>
                <w:tcPr>
                  <w:tcW w:w="1430" w:type="dxa"/>
                  <w:vAlign w:val="center"/>
                </w:tcPr>
                <w:p w14:paraId="7AEE6B4B">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南</w:t>
                  </w:r>
                </w:p>
              </w:tc>
              <w:tc>
                <w:tcPr>
                  <w:tcW w:w="1430" w:type="dxa"/>
                  <w:vAlign w:val="center"/>
                </w:tcPr>
                <w:p w14:paraId="4A2F3268">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西</w:t>
                  </w:r>
                </w:p>
              </w:tc>
              <w:tc>
                <w:tcPr>
                  <w:tcW w:w="1433" w:type="dxa"/>
                  <w:vAlign w:val="center"/>
                </w:tcPr>
                <w:p w14:paraId="1DF31A15">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北</w:t>
                  </w:r>
                </w:p>
              </w:tc>
            </w:tr>
            <w:tr w14:paraId="5B48E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vAlign w:val="center"/>
                </w:tcPr>
                <w:p w14:paraId="42B573B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w:t>
                  </w:r>
                </w:p>
                <w:p w14:paraId="3D3218C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间</w:t>
                  </w:r>
                </w:p>
              </w:tc>
              <w:tc>
                <w:tcPr>
                  <w:tcW w:w="1866" w:type="dxa"/>
                  <w:vAlign w:val="center"/>
                </w:tcPr>
                <w:p w14:paraId="55A762C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贡献值</w:t>
                  </w:r>
                </w:p>
              </w:tc>
              <w:tc>
                <w:tcPr>
                  <w:tcW w:w="1430" w:type="dxa"/>
                  <w:vAlign w:val="center"/>
                </w:tcPr>
                <w:p w14:paraId="720DD3F0">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430" w:type="dxa"/>
                  <w:vAlign w:val="center"/>
                </w:tcPr>
                <w:p w14:paraId="2369C0E6">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430" w:type="dxa"/>
                  <w:vAlign w:val="center"/>
                </w:tcPr>
                <w:p w14:paraId="364C6E42">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433" w:type="dxa"/>
                  <w:vAlign w:val="center"/>
                </w:tcPr>
                <w:p w14:paraId="2F364E8F">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r>
            <w:tr w14:paraId="39381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vAlign w:val="center"/>
                </w:tcPr>
                <w:p w14:paraId="2E212F9E">
                  <w:pPr>
                    <w:rPr>
                      <w:rFonts w:hint="default" w:ascii="Times New Roman" w:hAnsi="Times New Roman" w:cs="Times New Roman"/>
                      <w:color w:val="auto"/>
                      <w:highlight w:val="none"/>
                    </w:rPr>
                  </w:pPr>
                </w:p>
              </w:tc>
              <w:tc>
                <w:tcPr>
                  <w:tcW w:w="1866" w:type="dxa"/>
                  <w:vAlign w:val="center"/>
                </w:tcPr>
                <w:p w14:paraId="0D0620B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标准值</w:t>
                  </w:r>
                </w:p>
              </w:tc>
              <w:tc>
                <w:tcPr>
                  <w:tcW w:w="1430" w:type="dxa"/>
                  <w:vAlign w:val="center"/>
                </w:tcPr>
                <w:p w14:paraId="210AB3C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c>
                <w:tcPr>
                  <w:tcW w:w="1430" w:type="dxa"/>
                  <w:vAlign w:val="center"/>
                </w:tcPr>
                <w:p w14:paraId="74B9EE8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c>
                <w:tcPr>
                  <w:tcW w:w="1430" w:type="dxa"/>
                  <w:vAlign w:val="center"/>
                </w:tcPr>
                <w:p w14:paraId="5A0907D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c>
                <w:tcPr>
                  <w:tcW w:w="1433" w:type="dxa"/>
                  <w:vAlign w:val="center"/>
                </w:tcPr>
                <w:p w14:paraId="77B6732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r>
            <w:tr w14:paraId="7867F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vAlign w:val="center"/>
                </w:tcPr>
                <w:p w14:paraId="6DFF1456">
                  <w:pPr>
                    <w:rPr>
                      <w:rFonts w:hint="default" w:ascii="Times New Roman" w:hAnsi="Times New Roman" w:cs="Times New Roman"/>
                      <w:color w:val="auto"/>
                      <w:highlight w:val="none"/>
                    </w:rPr>
                  </w:pPr>
                </w:p>
              </w:tc>
              <w:tc>
                <w:tcPr>
                  <w:tcW w:w="1866" w:type="dxa"/>
                  <w:vAlign w:val="center"/>
                </w:tcPr>
                <w:p w14:paraId="58493651">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评价</w:t>
                  </w:r>
                </w:p>
              </w:tc>
              <w:tc>
                <w:tcPr>
                  <w:tcW w:w="1430" w:type="dxa"/>
                  <w:vAlign w:val="center"/>
                </w:tcPr>
                <w:p w14:paraId="7E4DA4CD">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达标</w:t>
                  </w:r>
                </w:p>
              </w:tc>
              <w:tc>
                <w:tcPr>
                  <w:tcW w:w="1430" w:type="dxa"/>
                  <w:vAlign w:val="center"/>
                </w:tcPr>
                <w:p w14:paraId="0855A279">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达标</w:t>
                  </w:r>
                </w:p>
              </w:tc>
              <w:tc>
                <w:tcPr>
                  <w:tcW w:w="1430" w:type="dxa"/>
                  <w:vAlign w:val="center"/>
                </w:tcPr>
                <w:p w14:paraId="1C562A15">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达标</w:t>
                  </w:r>
                </w:p>
              </w:tc>
              <w:tc>
                <w:tcPr>
                  <w:tcW w:w="1433" w:type="dxa"/>
                  <w:vAlign w:val="center"/>
                </w:tcPr>
                <w:p w14:paraId="59A7AA00">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达标</w:t>
                  </w:r>
                </w:p>
              </w:tc>
            </w:tr>
          </w:tbl>
          <w:p w14:paraId="5EB2EB24">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经预测，本项目噪声在厂界四周的预测值满足《工业企业厂界环境噪声排放标准》（GB12348-2008）中的3类标准（昼间≤65dB（A））。根据上述分析，本项目对周围声环境影响较小。</w:t>
            </w:r>
          </w:p>
          <w:p w14:paraId="5A434A71">
            <w:pPr>
              <w:spacing w:line="360" w:lineRule="auto"/>
              <w:ind w:firstLine="482" w:firstLineChars="200"/>
              <w:jc w:val="left"/>
              <w:rPr>
                <w:rFonts w:hint="default" w:ascii="Times New Roman" w:hAnsi="Times New Roman" w:cs="Times New Roman"/>
                <w:b/>
                <w:bCs/>
                <w:color w:val="auto"/>
                <w:kern w:val="0"/>
                <w:sz w:val="24"/>
                <w:highlight w:val="none"/>
                <w:lang w:bidi="ar"/>
              </w:rPr>
            </w:pPr>
            <w:r>
              <w:rPr>
                <w:rFonts w:hint="default" w:ascii="Times New Roman" w:hAnsi="Times New Roman" w:cs="Times New Roman"/>
                <w:b/>
                <w:bCs/>
                <w:color w:val="auto"/>
                <w:kern w:val="0"/>
                <w:sz w:val="24"/>
                <w:highlight w:val="none"/>
                <w:lang w:bidi="ar"/>
              </w:rPr>
              <w:t>3.4监测计划</w:t>
            </w:r>
          </w:p>
          <w:p w14:paraId="7B46427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根据《工业企业厂界环境噪声排放标准》（GB12348</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2008）的监测要求，列出本项目监测计划，如下表所示：</w:t>
            </w:r>
          </w:p>
          <w:p w14:paraId="67F2C0A9">
            <w:pPr>
              <w:pStyle w:val="27"/>
              <w:bidi w:val="0"/>
              <w:rPr>
                <w:rFonts w:hint="default"/>
              </w:rPr>
            </w:pPr>
            <w:r>
              <w:rPr>
                <w:rFonts w:hint="default"/>
              </w:rPr>
              <w:t>表4.1</w:t>
            </w:r>
            <w:r>
              <w:rPr>
                <w:rFonts w:hint="default"/>
                <w:lang w:val="en-US" w:eastAsia="zh-CN"/>
              </w:rPr>
              <w:t>5</w:t>
            </w:r>
            <w:r>
              <w:rPr>
                <w:rFonts w:hint="default"/>
              </w:rPr>
              <w:t xml:space="preserve">  </w:t>
            </w:r>
            <w:r>
              <w:rPr>
                <w:rFonts w:hint="eastAsia"/>
                <w:lang w:val="en-US" w:eastAsia="zh-CN"/>
              </w:rPr>
              <w:t>噪声</w:t>
            </w:r>
            <w:r>
              <w:rPr>
                <w:rFonts w:hint="default"/>
              </w:rPr>
              <w:t>监测计划一览表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74"/>
              <w:gridCol w:w="2471"/>
              <w:gridCol w:w="1988"/>
              <w:gridCol w:w="1405"/>
            </w:tblGrid>
            <w:tr w14:paraId="5A682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3610CFBB">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时段</w:t>
                  </w:r>
                </w:p>
              </w:tc>
              <w:tc>
                <w:tcPr>
                  <w:tcW w:w="1392" w:type="dxa"/>
                  <w:vAlign w:val="center"/>
                </w:tcPr>
                <w:p w14:paraId="258438F2">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类型</w:t>
                  </w:r>
                </w:p>
              </w:tc>
              <w:tc>
                <w:tcPr>
                  <w:tcW w:w="2505" w:type="dxa"/>
                  <w:vAlign w:val="center"/>
                </w:tcPr>
                <w:p w14:paraId="3C294B6D">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监测位置</w:t>
                  </w:r>
                </w:p>
              </w:tc>
              <w:tc>
                <w:tcPr>
                  <w:tcW w:w="2015" w:type="dxa"/>
                  <w:vAlign w:val="center"/>
                </w:tcPr>
                <w:p w14:paraId="4590A08A">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监测项目</w:t>
                  </w:r>
                </w:p>
              </w:tc>
              <w:tc>
                <w:tcPr>
                  <w:tcW w:w="1423" w:type="dxa"/>
                  <w:vAlign w:val="center"/>
                </w:tcPr>
                <w:p w14:paraId="11F2FB6E">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频次</w:t>
                  </w:r>
                </w:p>
              </w:tc>
            </w:tr>
            <w:tr w14:paraId="411E3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5" w:type="dxa"/>
                  <w:vAlign w:val="center"/>
                </w:tcPr>
                <w:p w14:paraId="17B23E9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运营期</w:t>
                  </w:r>
                </w:p>
              </w:tc>
              <w:tc>
                <w:tcPr>
                  <w:tcW w:w="1392" w:type="dxa"/>
                  <w:vAlign w:val="center"/>
                </w:tcPr>
                <w:p w14:paraId="7264EBF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w:t>
                  </w:r>
                </w:p>
              </w:tc>
              <w:tc>
                <w:tcPr>
                  <w:tcW w:w="2505" w:type="dxa"/>
                  <w:vAlign w:val="center"/>
                </w:tcPr>
                <w:p w14:paraId="1384E10F">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厂界</w:t>
                  </w:r>
                  <w:r>
                    <w:rPr>
                      <w:rFonts w:hint="default" w:ascii="Times New Roman" w:hAnsi="Times New Roman" w:cs="Times New Roman"/>
                      <w:color w:val="auto"/>
                      <w:szCs w:val="21"/>
                      <w:highlight w:val="none"/>
                      <w:lang w:val="en-US" w:eastAsia="zh-CN"/>
                    </w:rPr>
                    <w:t>四周</w:t>
                  </w:r>
                </w:p>
              </w:tc>
              <w:tc>
                <w:tcPr>
                  <w:tcW w:w="2015" w:type="dxa"/>
                  <w:vAlign w:val="center"/>
                </w:tcPr>
                <w:p w14:paraId="71141AF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等效连续A声级</w:t>
                  </w:r>
                </w:p>
              </w:tc>
              <w:tc>
                <w:tcPr>
                  <w:tcW w:w="1423" w:type="dxa"/>
                  <w:vAlign w:val="center"/>
                </w:tcPr>
                <w:p w14:paraId="298129D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每季度一次</w:t>
                  </w:r>
                </w:p>
              </w:tc>
            </w:tr>
          </w:tbl>
          <w:p w14:paraId="66E1BA5C">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4、固体废物</w:t>
            </w:r>
          </w:p>
          <w:p w14:paraId="2F339E7F">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4.1固体废物产生情况</w:t>
            </w:r>
          </w:p>
          <w:p w14:paraId="203F2A9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（1）固体废物产生环节</w:t>
            </w:r>
          </w:p>
          <w:p w14:paraId="0DC1875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项目营运期产生的固体废物主要包括：</w:t>
            </w:r>
          </w:p>
          <w:p w14:paraId="4096E57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A.一般固废：一般废包装材料、</w:t>
            </w:r>
            <w:r>
              <w:rPr>
                <w:rFonts w:hint="default" w:ascii="Times New Roman" w:hAnsi="Times New Roman" w:cs="Times New Roman"/>
                <w:color w:val="auto"/>
                <w:sz w:val="24"/>
                <w:highlight w:val="none"/>
                <w:lang w:val="en-US" w:eastAsia="zh-CN"/>
              </w:rPr>
              <w:t>废滤芯</w:t>
            </w:r>
            <w:r>
              <w:rPr>
                <w:rFonts w:hint="default" w:ascii="Times New Roman" w:hAnsi="Times New Roman" w:cs="Times New Roman"/>
                <w:color w:val="auto"/>
                <w:sz w:val="24"/>
                <w:highlight w:val="none"/>
              </w:rPr>
              <w:t>、废靶材</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废反渗透膜</w:t>
            </w:r>
            <w:r>
              <w:rPr>
                <w:rFonts w:hint="default" w:ascii="Times New Roman" w:hAnsi="Times New Roman" w:cs="Times New Roman"/>
                <w:color w:val="auto"/>
                <w:sz w:val="24"/>
                <w:highlight w:val="none"/>
              </w:rPr>
              <w:t>。</w:t>
            </w:r>
          </w:p>
          <w:p w14:paraId="02C3F223">
            <w:pPr>
              <w:adjustRightInd w:val="0"/>
              <w:snapToGrid w:val="0"/>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略</w:t>
            </w:r>
          </w:p>
          <w:p w14:paraId="5EC2B3B8">
            <w:pPr>
              <w:adjustRightInd w:val="0"/>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B.危险废物：</w:t>
            </w:r>
            <w:r>
              <w:rPr>
                <w:rFonts w:hint="eastAsia" w:cs="Times New Roman"/>
                <w:color w:val="auto"/>
                <w:sz w:val="24"/>
                <w:highlight w:val="none"/>
                <w:lang w:val="en-US" w:eastAsia="zh-CN"/>
              </w:rPr>
              <w:t>略</w:t>
            </w:r>
          </w:p>
          <w:p w14:paraId="7915ABC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C.</w:t>
            </w:r>
            <w:r>
              <w:rPr>
                <w:rFonts w:hint="default" w:ascii="Times New Roman" w:hAnsi="Times New Roman" w:cs="Times New Roman"/>
                <w:color w:val="auto"/>
                <w:sz w:val="24"/>
                <w:highlight w:val="none"/>
              </w:rPr>
              <w:t>生活垃圾：本项目员工150人，生活垃圾按照0.5 kg/人/天计，年工作300天，产生生活垃圾约22.5 t。由环卫部门统一处理。</w:t>
            </w:r>
          </w:p>
          <w:p w14:paraId="32A5502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（2）固废产生情况汇总</w:t>
            </w:r>
          </w:p>
          <w:p w14:paraId="52BB809D">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w:t>
            </w:r>
            <w:r>
              <w:rPr>
                <w:rFonts w:hint="default" w:ascii="Times New Roman" w:hAnsi="Times New Roman" w:cs="Times New Roman"/>
                <w:color w:val="auto"/>
                <w:sz w:val="24"/>
                <w:highlight w:val="none"/>
                <w:lang w:val="en-US" w:eastAsia="zh-CN"/>
              </w:rPr>
              <w:t>固废</w:t>
            </w:r>
            <w:r>
              <w:rPr>
                <w:rFonts w:hint="default" w:ascii="Times New Roman" w:hAnsi="Times New Roman" w:cs="Times New Roman"/>
                <w:color w:val="auto"/>
                <w:sz w:val="24"/>
                <w:highlight w:val="none"/>
              </w:rPr>
              <w:t>产生情况</w:t>
            </w:r>
          </w:p>
          <w:p w14:paraId="5EED550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根据《中华人民共和国固体废物污染环境防治法》、《固体废物鉴别标准通则》（GB34330-2017）等规定，判断以上建设项目生产过程中产生的副产品是否属于固体废物，判定结果见下表：</w:t>
            </w:r>
          </w:p>
          <w:p w14:paraId="0A1CF39A">
            <w:pPr>
              <w:pStyle w:val="27"/>
              <w:bidi w:val="0"/>
              <w:rPr>
                <w:rFonts w:hint="default" w:ascii="Times New Roman" w:hAnsi="Times New Roman" w:cs="Times New Roman"/>
                <w:b/>
                <w:bCs/>
                <w:color w:val="auto"/>
                <w:highlight w:val="none"/>
              </w:rPr>
            </w:pPr>
            <w:r>
              <w:rPr>
                <w:rFonts w:hint="default"/>
              </w:rPr>
              <w:t>表4.1</w:t>
            </w:r>
            <w:r>
              <w:rPr>
                <w:rFonts w:hint="default"/>
                <w:lang w:val="en-US" w:eastAsia="zh-CN"/>
              </w:rPr>
              <w:t>6</w:t>
            </w:r>
            <w:r>
              <w:rPr>
                <w:rFonts w:hint="default"/>
              </w:rPr>
              <w:t xml:space="preserve">  本项目副产物产生情况一览表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87"/>
              <w:gridCol w:w="1141"/>
              <w:gridCol w:w="735"/>
              <w:gridCol w:w="1011"/>
              <w:gridCol w:w="870"/>
              <w:gridCol w:w="849"/>
              <w:gridCol w:w="675"/>
              <w:gridCol w:w="850"/>
            </w:tblGrid>
            <w:tr w14:paraId="284A2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1" w:type="dxa"/>
                  <w:vMerge w:val="restart"/>
                  <w:tcMar>
                    <w:left w:w="28" w:type="dxa"/>
                    <w:right w:w="28" w:type="dxa"/>
                  </w:tcMar>
                  <w:vAlign w:val="center"/>
                </w:tcPr>
                <w:p w14:paraId="4620371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197" w:type="dxa"/>
                  <w:vMerge w:val="restart"/>
                  <w:tcMar>
                    <w:left w:w="28" w:type="dxa"/>
                    <w:right w:w="28" w:type="dxa"/>
                  </w:tcMar>
                  <w:vAlign w:val="center"/>
                </w:tcPr>
                <w:p w14:paraId="69085F5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副产物名称</w:t>
                  </w:r>
                </w:p>
              </w:tc>
              <w:tc>
                <w:tcPr>
                  <w:tcW w:w="1150" w:type="dxa"/>
                  <w:vMerge w:val="restart"/>
                  <w:tcMar>
                    <w:left w:w="28" w:type="dxa"/>
                    <w:right w:w="28" w:type="dxa"/>
                  </w:tcMar>
                  <w:vAlign w:val="center"/>
                </w:tcPr>
                <w:p w14:paraId="1D44A64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产生工序</w:t>
                  </w:r>
                </w:p>
              </w:tc>
              <w:tc>
                <w:tcPr>
                  <w:tcW w:w="741" w:type="dxa"/>
                  <w:vMerge w:val="restart"/>
                  <w:tcMar>
                    <w:left w:w="28" w:type="dxa"/>
                    <w:right w:w="28" w:type="dxa"/>
                  </w:tcMar>
                  <w:vAlign w:val="center"/>
                </w:tcPr>
                <w:p w14:paraId="5393450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相态</w:t>
                  </w:r>
                </w:p>
              </w:tc>
              <w:tc>
                <w:tcPr>
                  <w:tcW w:w="1019" w:type="dxa"/>
                  <w:vMerge w:val="restart"/>
                  <w:tcMar>
                    <w:left w:w="28" w:type="dxa"/>
                    <w:right w:w="28" w:type="dxa"/>
                  </w:tcMar>
                  <w:vAlign w:val="center"/>
                </w:tcPr>
                <w:p w14:paraId="1682D3F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主要成分</w:t>
                  </w:r>
                </w:p>
              </w:tc>
              <w:tc>
                <w:tcPr>
                  <w:tcW w:w="877" w:type="dxa"/>
                  <w:vMerge w:val="restart"/>
                  <w:tcMar>
                    <w:left w:w="28" w:type="dxa"/>
                    <w:right w:w="28" w:type="dxa"/>
                  </w:tcMar>
                  <w:vAlign w:val="center"/>
                </w:tcPr>
                <w:p w14:paraId="40E826D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年预测产生量</w:t>
                  </w:r>
                </w:p>
              </w:tc>
              <w:tc>
                <w:tcPr>
                  <w:tcW w:w="2392" w:type="dxa"/>
                  <w:gridSpan w:val="3"/>
                  <w:tcMar>
                    <w:left w:w="28" w:type="dxa"/>
                    <w:right w:w="28" w:type="dxa"/>
                  </w:tcMar>
                  <w:vAlign w:val="center"/>
                </w:tcPr>
                <w:p w14:paraId="2FAA5D7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种类判断</w:t>
                  </w:r>
                </w:p>
              </w:tc>
            </w:tr>
            <w:tr w14:paraId="319FA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1" w:type="dxa"/>
                  <w:vMerge w:val="continue"/>
                  <w:tcMar>
                    <w:left w:w="28" w:type="dxa"/>
                    <w:right w:w="28" w:type="dxa"/>
                  </w:tcMar>
                  <w:vAlign w:val="center"/>
                </w:tcPr>
                <w:p w14:paraId="271A6B55">
                  <w:pPr>
                    <w:jc w:val="center"/>
                    <w:rPr>
                      <w:rFonts w:hint="default" w:ascii="Times New Roman" w:hAnsi="Times New Roman" w:cs="Times New Roman"/>
                      <w:color w:val="auto"/>
                      <w:szCs w:val="21"/>
                      <w:highlight w:val="none"/>
                    </w:rPr>
                  </w:pPr>
                </w:p>
              </w:tc>
              <w:tc>
                <w:tcPr>
                  <w:tcW w:w="1197" w:type="dxa"/>
                  <w:vMerge w:val="continue"/>
                  <w:tcMar>
                    <w:left w:w="28" w:type="dxa"/>
                    <w:right w:w="28" w:type="dxa"/>
                  </w:tcMar>
                  <w:vAlign w:val="center"/>
                </w:tcPr>
                <w:p w14:paraId="7123AE07">
                  <w:pPr>
                    <w:jc w:val="center"/>
                    <w:rPr>
                      <w:rFonts w:hint="default" w:ascii="Times New Roman" w:hAnsi="Times New Roman" w:cs="Times New Roman"/>
                      <w:color w:val="auto"/>
                      <w:szCs w:val="21"/>
                      <w:highlight w:val="none"/>
                    </w:rPr>
                  </w:pPr>
                </w:p>
              </w:tc>
              <w:tc>
                <w:tcPr>
                  <w:tcW w:w="1150" w:type="dxa"/>
                  <w:vMerge w:val="continue"/>
                  <w:tcMar>
                    <w:left w:w="28" w:type="dxa"/>
                    <w:right w:w="28" w:type="dxa"/>
                  </w:tcMar>
                  <w:vAlign w:val="center"/>
                </w:tcPr>
                <w:p w14:paraId="5BC1F183">
                  <w:pPr>
                    <w:jc w:val="center"/>
                    <w:rPr>
                      <w:rFonts w:hint="default" w:ascii="Times New Roman" w:hAnsi="Times New Roman" w:cs="Times New Roman"/>
                      <w:color w:val="auto"/>
                      <w:szCs w:val="21"/>
                      <w:highlight w:val="none"/>
                    </w:rPr>
                  </w:pPr>
                </w:p>
              </w:tc>
              <w:tc>
                <w:tcPr>
                  <w:tcW w:w="741" w:type="dxa"/>
                  <w:vMerge w:val="continue"/>
                  <w:tcMar>
                    <w:left w:w="28" w:type="dxa"/>
                    <w:right w:w="28" w:type="dxa"/>
                  </w:tcMar>
                  <w:vAlign w:val="center"/>
                </w:tcPr>
                <w:p w14:paraId="1A6F8385">
                  <w:pPr>
                    <w:jc w:val="center"/>
                    <w:rPr>
                      <w:rFonts w:hint="default" w:ascii="Times New Roman" w:hAnsi="Times New Roman" w:cs="Times New Roman"/>
                      <w:color w:val="auto"/>
                      <w:szCs w:val="21"/>
                      <w:highlight w:val="none"/>
                    </w:rPr>
                  </w:pPr>
                </w:p>
              </w:tc>
              <w:tc>
                <w:tcPr>
                  <w:tcW w:w="1019" w:type="dxa"/>
                  <w:vMerge w:val="continue"/>
                  <w:tcMar>
                    <w:left w:w="28" w:type="dxa"/>
                    <w:right w:w="28" w:type="dxa"/>
                  </w:tcMar>
                  <w:vAlign w:val="center"/>
                </w:tcPr>
                <w:p w14:paraId="150D5691">
                  <w:pPr>
                    <w:jc w:val="center"/>
                    <w:rPr>
                      <w:rFonts w:hint="default" w:ascii="Times New Roman" w:hAnsi="Times New Roman" w:cs="Times New Roman"/>
                      <w:color w:val="auto"/>
                      <w:szCs w:val="21"/>
                      <w:highlight w:val="none"/>
                    </w:rPr>
                  </w:pPr>
                </w:p>
              </w:tc>
              <w:tc>
                <w:tcPr>
                  <w:tcW w:w="877" w:type="dxa"/>
                  <w:vMerge w:val="continue"/>
                  <w:tcMar>
                    <w:left w:w="28" w:type="dxa"/>
                    <w:right w:w="28" w:type="dxa"/>
                  </w:tcMar>
                  <w:vAlign w:val="center"/>
                </w:tcPr>
                <w:p w14:paraId="1494648C">
                  <w:pPr>
                    <w:jc w:val="center"/>
                    <w:rPr>
                      <w:rFonts w:hint="default" w:ascii="Times New Roman" w:hAnsi="Times New Roman" w:cs="Times New Roman"/>
                      <w:color w:val="auto"/>
                      <w:szCs w:val="21"/>
                      <w:highlight w:val="none"/>
                    </w:rPr>
                  </w:pPr>
                </w:p>
              </w:tc>
              <w:tc>
                <w:tcPr>
                  <w:tcW w:w="856" w:type="dxa"/>
                  <w:tcMar>
                    <w:left w:w="28" w:type="dxa"/>
                    <w:right w:w="28" w:type="dxa"/>
                  </w:tcMar>
                  <w:vAlign w:val="center"/>
                </w:tcPr>
                <w:p w14:paraId="16A893A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固体废物</w:t>
                  </w:r>
                </w:p>
              </w:tc>
              <w:tc>
                <w:tcPr>
                  <w:tcW w:w="680" w:type="dxa"/>
                  <w:tcMar>
                    <w:left w:w="28" w:type="dxa"/>
                    <w:right w:w="28" w:type="dxa"/>
                  </w:tcMar>
                  <w:vAlign w:val="center"/>
                </w:tcPr>
                <w:p w14:paraId="7CC39A4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副产品</w:t>
                  </w:r>
                </w:p>
              </w:tc>
              <w:tc>
                <w:tcPr>
                  <w:tcW w:w="856" w:type="dxa"/>
                  <w:tcMar>
                    <w:left w:w="28" w:type="dxa"/>
                    <w:right w:w="28" w:type="dxa"/>
                  </w:tcMar>
                  <w:vAlign w:val="center"/>
                </w:tcPr>
                <w:p w14:paraId="4FB361F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判定依据</w:t>
                  </w:r>
                </w:p>
              </w:tc>
            </w:tr>
            <w:tr w14:paraId="3263E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55ECCB6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197" w:type="dxa"/>
                  <w:tcMar>
                    <w:left w:w="28" w:type="dxa"/>
                    <w:right w:w="28" w:type="dxa"/>
                  </w:tcMar>
                  <w:vAlign w:val="center"/>
                </w:tcPr>
                <w:p w14:paraId="061F259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一般废包装材料</w:t>
                  </w:r>
                </w:p>
              </w:tc>
              <w:tc>
                <w:tcPr>
                  <w:tcW w:w="1150" w:type="dxa"/>
                  <w:tcMar>
                    <w:left w:w="28" w:type="dxa"/>
                    <w:right w:w="28" w:type="dxa"/>
                  </w:tcMar>
                  <w:vAlign w:val="center"/>
                </w:tcPr>
                <w:p w14:paraId="0942600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生产厂房一</w:t>
                  </w:r>
                  <w:r>
                    <w:rPr>
                      <w:rFonts w:hint="default" w:ascii="Times New Roman" w:hAnsi="Times New Roman" w:cs="Times New Roman"/>
                      <w:color w:val="auto"/>
                      <w:szCs w:val="21"/>
                      <w:highlight w:val="none"/>
                    </w:rPr>
                    <w:t>装配</w:t>
                  </w:r>
                </w:p>
              </w:tc>
              <w:tc>
                <w:tcPr>
                  <w:tcW w:w="741" w:type="dxa"/>
                  <w:tcMar>
                    <w:left w:w="28" w:type="dxa"/>
                    <w:right w:w="28" w:type="dxa"/>
                  </w:tcMar>
                  <w:vAlign w:val="center"/>
                </w:tcPr>
                <w:p w14:paraId="2044410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固态</w:t>
                  </w:r>
                </w:p>
              </w:tc>
              <w:tc>
                <w:tcPr>
                  <w:tcW w:w="1019" w:type="dxa"/>
                  <w:tcMar>
                    <w:left w:w="28" w:type="dxa"/>
                    <w:right w:w="28" w:type="dxa"/>
                  </w:tcMar>
                  <w:vAlign w:val="center"/>
                </w:tcPr>
                <w:p w14:paraId="1D612EF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77" w:type="dxa"/>
                  <w:tcMar>
                    <w:left w:w="28" w:type="dxa"/>
                    <w:right w:w="28" w:type="dxa"/>
                  </w:tcMar>
                  <w:vAlign w:val="center"/>
                </w:tcPr>
                <w:p w14:paraId="141BA329">
                  <w:pPr>
                    <w:jc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c>
                <w:tcPr>
                  <w:tcW w:w="856" w:type="dxa"/>
                  <w:tcMar>
                    <w:left w:w="28" w:type="dxa"/>
                    <w:right w:w="28" w:type="dxa"/>
                  </w:tcMar>
                  <w:vAlign w:val="center"/>
                </w:tcPr>
                <w:p w14:paraId="39EFD5F4">
                  <w:pPr>
                    <w:pStyle w:val="8"/>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80" w:type="dxa"/>
                  <w:tcMar>
                    <w:left w:w="28" w:type="dxa"/>
                    <w:right w:w="28" w:type="dxa"/>
                  </w:tcMar>
                  <w:vAlign w:val="center"/>
                </w:tcPr>
                <w:p w14:paraId="63567F9F">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56" w:type="dxa"/>
                  <w:vMerge w:val="restart"/>
                  <w:tcMar>
                    <w:left w:w="28" w:type="dxa"/>
                    <w:right w:w="28" w:type="dxa"/>
                  </w:tcMar>
                  <w:vAlign w:val="center"/>
                </w:tcPr>
                <w:p w14:paraId="2177035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《固体废物鉴别标准 通则》（GB 34330-2017）</w:t>
                  </w:r>
                </w:p>
              </w:tc>
            </w:tr>
            <w:tr w14:paraId="6B3DB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3216C6F6">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w:t>
                  </w:r>
                </w:p>
              </w:tc>
              <w:tc>
                <w:tcPr>
                  <w:tcW w:w="1197" w:type="dxa"/>
                  <w:tcMar>
                    <w:left w:w="28" w:type="dxa"/>
                    <w:right w:w="28" w:type="dxa"/>
                  </w:tcMar>
                  <w:vAlign w:val="center"/>
                </w:tcPr>
                <w:p w14:paraId="54B97EF1">
                  <w:pPr>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废滤芯</w:t>
                  </w:r>
                </w:p>
              </w:tc>
              <w:tc>
                <w:tcPr>
                  <w:tcW w:w="1150" w:type="dxa"/>
                  <w:tcMar>
                    <w:left w:w="28" w:type="dxa"/>
                    <w:right w:w="28" w:type="dxa"/>
                  </w:tcMar>
                  <w:vAlign w:val="center"/>
                </w:tcPr>
                <w:p w14:paraId="58E277F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纯水机</w:t>
                  </w:r>
                </w:p>
              </w:tc>
              <w:tc>
                <w:tcPr>
                  <w:tcW w:w="741" w:type="dxa"/>
                  <w:tcMar>
                    <w:left w:w="28" w:type="dxa"/>
                    <w:right w:w="28" w:type="dxa"/>
                  </w:tcMar>
                  <w:vAlign w:val="center"/>
                </w:tcPr>
                <w:p w14:paraId="63D3268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固态</w:t>
                  </w:r>
                </w:p>
              </w:tc>
              <w:tc>
                <w:tcPr>
                  <w:tcW w:w="1019" w:type="dxa"/>
                  <w:tcMar>
                    <w:left w:w="28" w:type="dxa"/>
                    <w:right w:w="28" w:type="dxa"/>
                  </w:tcMar>
                  <w:vAlign w:val="center"/>
                </w:tcPr>
                <w:p w14:paraId="64B63A2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活性炭</w:t>
                  </w:r>
                </w:p>
              </w:tc>
              <w:tc>
                <w:tcPr>
                  <w:tcW w:w="877" w:type="dxa"/>
                  <w:tcMar>
                    <w:left w:w="28" w:type="dxa"/>
                    <w:right w:w="28" w:type="dxa"/>
                  </w:tcMar>
                  <w:vAlign w:val="center"/>
                </w:tcPr>
                <w:p w14:paraId="0678A890">
                  <w:pPr>
                    <w:jc w:val="center"/>
                    <w:rPr>
                      <w:rFonts w:hint="default" w:ascii="Times New Roman" w:hAnsi="Times New Roman" w:cs="Times New Roman"/>
                      <w:color w:val="auto"/>
                      <w:szCs w:val="21"/>
                      <w:highlight w:val="none"/>
                      <w:lang w:val="en-US"/>
                    </w:rPr>
                  </w:pPr>
                  <w:r>
                    <w:rPr>
                      <w:rFonts w:hint="eastAsia" w:cs="Times New Roman"/>
                      <w:color w:val="auto"/>
                      <w:sz w:val="24"/>
                      <w:szCs w:val="24"/>
                      <w:highlight w:val="none"/>
                      <w:lang w:val="en-US" w:eastAsia="zh-CN"/>
                    </w:rPr>
                    <w:t>***</w:t>
                  </w:r>
                </w:p>
              </w:tc>
              <w:tc>
                <w:tcPr>
                  <w:tcW w:w="856" w:type="dxa"/>
                  <w:tcMar>
                    <w:left w:w="28" w:type="dxa"/>
                    <w:right w:w="28" w:type="dxa"/>
                  </w:tcMar>
                  <w:vAlign w:val="center"/>
                </w:tcPr>
                <w:p w14:paraId="4E04F6B9">
                  <w:pPr>
                    <w:pStyle w:val="8"/>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80" w:type="dxa"/>
                  <w:tcMar>
                    <w:left w:w="28" w:type="dxa"/>
                    <w:right w:w="28" w:type="dxa"/>
                  </w:tcMar>
                  <w:vAlign w:val="center"/>
                </w:tcPr>
                <w:p w14:paraId="5026B54F">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049DD4BA">
                  <w:pPr>
                    <w:jc w:val="center"/>
                    <w:rPr>
                      <w:rFonts w:hint="default" w:ascii="Times New Roman" w:hAnsi="Times New Roman" w:cs="Times New Roman"/>
                      <w:color w:val="auto"/>
                      <w:szCs w:val="21"/>
                      <w:highlight w:val="none"/>
                    </w:rPr>
                  </w:pPr>
                </w:p>
              </w:tc>
            </w:tr>
            <w:tr w14:paraId="7A2FE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54B33B4F">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w:t>
                  </w:r>
                </w:p>
              </w:tc>
              <w:tc>
                <w:tcPr>
                  <w:tcW w:w="1197" w:type="dxa"/>
                  <w:tcMar>
                    <w:left w:w="28" w:type="dxa"/>
                    <w:right w:w="28" w:type="dxa"/>
                  </w:tcMar>
                  <w:vAlign w:val="center"/>
                </w:tcPr>
                <w:p w14:paraId="78FDD05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废靶材</w:t>
                  </w:r>
                </w:p>
              </w:tc>
              <w:tc>
                <w:tcPr>
                  <w:tcW w:w="1150" w:type="dxa"/>
                  <w:tcMar>
                    <w:left w:w="28" w:type="dxa"/>
                    <w:right w:w="28" w:type="dxa"/>
                  </w:tcMar>
                  <w:vAlign w:val="center"/>
                </w:tcPr>
                <w:p w14:paraId="5440FBD4">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磁控溅射</w:t>
                  </w:r>
                </w:p>
                <w:p w14:paraId="6DBDDA3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蒸镀</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电极层沉积</w:t>
                  </w:r>
                </w:p>
              </w:tc>
              <w:tc>
                <w:tcPr>
                  <w:tcW w:w="741" w:type="dxa"/>
                  <w:tcMar>
                    <w:left w:w="28" w:type="dxa"/>
                    <w:right w:w="28" w:type="dxa"/>
                  </w:tcMar>
                  <w:vAlign w:val="center"/>
                </w:tcPr>
                <w:p w14:paraId="7ACDF21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固态</w:t>
                  </w:r>
                </w:p>
              </w:tc>
              <w:tc>
                <w:tcPr>
                  <w:tcW w:w="1019" w:type="dxa"/>
                  <w:tcMar>
                    <w:left w:w="28" w:type="dxa"/>
                    <w:right w:w="28" w:type="dxa"/>
                  </w:tcMar>
                  <w:vAlign w:val="center"/>
                </w:tcPr>
                <w:p w14:paraId="42E3A0F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NiO、Cu、ITO</w:t>
                  </w:r>
                  <w:r>
                    <w:rPr>
                      <w:rFonts w:hint="default" w:ascii="Times New Roman" w:hAnsi="Times New Roman" w:cs="Times New Roman"/>
                      <w:color w:val="auto"/>
                      <w:szCs w:val="21"/>
                      <w:highlight w:val="none"/>
                    </w:rPr>
                    <w:t>等</w:t>
                  </w:r>
                  <w:r>
                    <w:rPr>
                      <w:rFonts w:hint="default" w:ascii="Times New Roman" w:hAnsi="Times New Roman" w:cs="Times New Roman"/>
                      <w:color w:val="auto"/>
                      <w:szCs w:val="21"/>
                      <w:highlight w:val="none"/>
                      <w:lang w:val="en-US" w:eastAsia="zh-CN"/>
                    </w:rPr>
                    <w:t>靶材</w:t>
                  </w:r>
                </w:p>
              </w:tc>
              <w:tc>
                <w:tcPr>
                  <w:tcW w:w="877" w:type="dxa"/>
                  <w:tcMar>
                    <w:left w:w="28" w:type="dxa"/>
                    <w:right w:w="28" w:type="dxa"/>
                  </w:tcMar>
                  <w:vAlign w:val="center"/>
                </w:tcPr>
                <w:p w14:paraId="210F71CA">
                  <w:pPr>
                    <w:jc w:val="center"/>
                    <w:rPr>
                      <w:rFonts w:hint="default" w:ascii="Times New Roman" w:hAnsi="Times New Roman" w:cs="Times New Roman"/>
                      <w:color w:val="auto"/>
                      <w:szCs w:val="21"/>
                      <w:highlight w:val="none"/>
                      <w:lang w:val="en-US"/>
                    </w:rPr>
                  </w:pPr>
                  <w:r>
                    <w:rPr>
                      <w:rFonts w:hint="eastAsia" w:cs="Times New Roman"/>
                      <w:color w:val="auto"/>
                      <w:sz w:val="24"/>
                      <w:szCs w:val="24"/>
                      <w:highlight w:val="none"/>
                      <w:lang w:val="en-US" w:eastAsia="zh-CN"/>
                    </w:rPr>
                    <w:t>***</w:t>
                  </w:r>
                </w:p>
              </w:tc>
              <w:tc>
                <w:tcPr>
                  <w:tcW w:w="856" w:type="dxa"/>
                  <w:tcMar>
                    <w:left w:w="28" w:type="dxa"/>
                    <w:right w:w="28" w:type="dxa"/>
                  </w:tcMar>
                  <w:vAlign w:val="center"/>
                </w:tcPr>
                <w:p w14:paraId="0C3A3D0F">
                  <w:pPr>
                    <w:pStyle w:val="8"/>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80" w:type="dxa"/>
                  <w:tcMar>
                    <w:left w:w="28" w:type="dxa"/>
                    <w:right w:w="28" w:type="dxa"/>
                  </w:tcMar>
                  <w:vAlign w:val="center"/>
                </w:tcPr>
                <w:p w14:paraId="14883655">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56129CC2">
                  <w:pPr>
                    <w:jc w:val="center"/>
                    <w:rPr>
                      <w:rFonts w:hint="default" w:ascii="Times New Roman" w:hAnsi="Times New Roman" w:cs="Times New Roman"/>
                      <w:color w:val="auto"/>
                      <w:szCs w:val="21"/>
                      <w:highlight w:val="none"/>
                    </w:rPr>
                  </w:pPr>
                </w:p>
              </w:tc>
            </w:tr>
            <w:tr w14:paraId="2D677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08E4AD87">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w:t>
                  </w:r>
                </w:p>
              </w:tc>
              <w:tc>
                <w:tcPr>
                  <w:tcW w:w="1197" w:type="dxa"/>
                  <w:shd w:val="clear" w:color="auto" w:fill="auto"/>
                  <w:tcMar>
                    <w:left w:w="28" w:type="dxa"/>
                    <w:right w:w="28" w:type="dxa"/>
                  </w:tcMar>
                  <w:vAlign w:val="center"/>
                </w:tcPr>
                <w:p w14:paraId="46C0DD4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eastAsia="zh-CN"/>
                    </w:rPr>
                    <w:t>激光划线粉尘</w:t>
                  </w:r>
                </w:p>
              </w:tc>
              <w:tc>
                <w:tcPr>
                  <w:tcW w:w="1150" w:type="dxa"/>
                  <w:shd w:val="clear" w:color="auto" w:fill="auto"/>
                  <w:tcMar>
                    <w:left w:w="28" w:type="dxa"/>
                    <w:right w:w="28" w:type="dxa"/>
                  </w:tcMar>
                  <w:vAlign w:val="center"/>
                </w:tcPr>
                <w:p w14:paraId="033B1BD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激光划线自带</w:t>
                  </w:r>
                  <w:r>
                    <w:rPr>
                      <w:rFonts w:hint="default" w:ascii="Times New Roman" w:hAnsi="Times New Roman" w:cs="Times New Roman"/>
                      <w:color w:val="auto"/>
                      <w:szCs w:val="21"/>
                      <w:highlight w:val="none"/>
                      <w:lang w:val="en-US" w:eastAsia="zh-CN"/>
                    </w:rPr>
                    <w:t>过滤</w:t>
                  </w:r>
                  <w:r>
                    <w:rPr>
                      <w:rFonts w:hint="default" w:ascii="Times New Roman" w:hAnsi="Times New Roman" w:cs="Times New Roman"/>
                      <w:color w:val="auto"/>
                      <w:szCs w:val="21"/>
                      <w:highlight w:val="none"/>
                    </w:rPr>
                    <w:t>除尘装置</w:t>
                  </w:r>
                </w:p>
              </w:tc>
              <w:tc>
                <w:tcPr>
                  <w:tcW w:w="741" w:type="dxa"/>
                  <w:shd w:val="clear" w:color="auto" w:fill="auto"/>
                  <w:tcMar>
                    <w:left w:w="28" w:type="dxa"/>
                    <w:right w:w="28" w:type="dxa"/>
                  </w:tcMar>
                  <w:vAlign w:val="center"/>
                </w:tcPr>
                <w:p w14:paraId="624F4F0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固态</w:t>
                  </w:r>
                </w:p>
              </w:tc>
              <w:tc>
                <w:tcPr>
                  <w:tcW w:w="1019" w:type="dxa"/>
                  <w:shd w:val="clear" w:color="auto" w:fill="auto"/>
                  <w:tcMar>
                    <w:left w:w="28" w:type="dxa"/>
                    <w:right w:w="28" w:type="dxa"/>
                  </w:tcMar>
                  <w:vAlign w:val="center"/>
                </w:tcPr>
                <w:p w14:paraId="268DB65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氧化镍、氧化锡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金等</w:t>
                  </w:r>
                </w:p>
              </w:tc>
              <w:tc>
                <w:tcPr>
                  <w:tcW w:w="877" w:type="dxa"/>
                  <w:shd w:val="clear" w:color="auto" w:fill="auto"/>
                  <w:tcMar>
                    <w:left w:w="28" w:type="dxa"/>
                    <w:right w:w="28" w:type="dxa"/>
                  </w:tcMar>
                  <w:vAlign w:val="center"/>
                </w:tcPr>
                <w:p w14:paraId="6FEDD0AC">
                  <w:pPr>
                    <w:jc w:val="center"/>
                    <w:rPr>
                      <w:rFonts w:hint="default" w:ascii="Times New Roman" w:hAnsi="Times New Roman" w:eastAsia="宋体" w:cs="Times New Roman"/>
                      <w:color w:val="auto"/>
                      <w:kern w:val="2"/>
                      <w:sz w:val="21"/>
                      <w:szCs w:val="24"/>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0162BC2F">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6F99BC00">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55C83659">
                  <w:pPr>
                    <w:jc w:val="center"/>
                    <w:rPr>
                      <w:rFonts w:hint="default" w:ascii="Times New Roman" w:hAnsi="Times New Roman" w:cs="Times New Roman"/>
                      <w:color w:val="auto"/>
                      <w:szCs w:val="21"/>
                      <w:highlight w:val="none"/>
                    </w:rPr>
                  </w:pPr>
                </w:p>
              </w:tc>
            </w:tr>
            <w:tr w14:paraId="0C708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6DE1FA38">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w:t>
                  </w:r>
                </w:p>
              </w:tc>
              <w:tc>
                <w:tcPr>
                  <w:tcW w:w="1197" w:type="dxa"/>
                  <w:shd w:val="clear" w:color="auto" w:fill="auto"/>
                  <w:tcMar>
                    <w:left w:w="28" w:type="dxa"/>
                    <w:right w:w="28" w:type="dxa"/>
                  </w:tcMar>
                  <w:vAlign w:val="center"/>
                </w:tcPr>
                <w:p w14:paraId="7B1DC0B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废反渗透膜</w:t>
                  </w:r>
                </w:p>
              </w:tc>
              <w:tc>
                <w:tcPr>
                  <w:tcW w:w="1150" w:type="dxa"/>
                  <w:shd w:val="clear" w:color="auto" w:fill="auto"/>
                  <w:tcMar>
                    <w:left w:w="28" w:type="dxa"/>
                    <w:right w:w="28" w:type="dxa"/>
                  </w:tcMar>
                  <w:vAlign w:val="center"/>
                </w:tcPr>
                <w:p w14:paraId="0E4D1F1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纯水机</w:t>
                  </w:r>
                </w:p>
              </w:tc>
              <w:tc>
                <w:tcPr>
                  <w:tcW w:w="741" w:type="dxa"/>
                  <w:shd w:val="clear" w:color="auto" w:fill="auto"/>
                  <w:tcMar>
                    <w:left w:w="28" w:type="dxa"/>
                    <w:right w:w="28" w:type="dxa"/>
                  </w:tcMar>
                  <w:vAlign w:val="center"/>
                </w:tcPr>
                <w:p w14:paraId="391CC95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固态</w:t>
                  </w:r>
                </w:p>
              </w:tc>
              <w:tc>
                <w:tcPr>
                  <w:tcW w:w="1019" w:type="dxa"/>
                  <w:shd w:val="clear" w:color="auto" w:fill="auto"/>
                  <w:tcMar>
                    <w:left w:w="28" w:type="dxa"/>
                    <w:right w:w="28" w:type="dxa"/>
                  </w:tcMar>
                  <w:vAlign w:val="center"/>
                </w:tcPr>
                <w:p w14:paraId="79711FC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RO膜</w:t>
                  </w:r>
                </w:p>
              </w:tc>
              <w:tc>
                <w:tcPr>
                  <w:tcW w:w="877" w:type="dxa"/>
                  <w:shd w:val="clear" w:color="auto" w:fill="auto"/>
                  <w:tcMar>
                    <w:left w:w="28" w:type="dxa"/>
                    <w:right w:w="28" w:type="dxa"/>
                  </w:tcMar>
                  <w:vAlign w:val="center"/>
                </w:tcPr>
                <w:p w14:paraId="5FE98E46">
                  <w:pPr>
                    <w:jc w:val="center"/>
                    <w:rPr>
                      <w:rFonts w:hint="default" w:ascii="Times New Roman" w:hAnsi="Times New Roman" w:eastAsia="宋体" w:cs="Times New Roman"/>
                      <w:color w:val="auto"/>
                      <w:kern w:val="2"/>
                      <w:sz w:val="21"/>
                      <w:szCs w:val="21"/>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362DA393">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33913ADA">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75E01359">
                  <w:pPr>
                    <w:jc w:val="center"/>
                    <w:rPr>
                      <w:rFonts w:hint="default" w:ascii="Times New Roman" w:hAnsi="Times New Roman" w:cs="Times New Roman"/>
                      <w:color w:val="auto"/>
                      <w:szCs w:val="21"/>
                      <w:highlight w:val="none"/>
                    </w:rPr>
                  </w:pPr>
                </w:p>
              </w:tc>
            </w:tr>
            <w:tr w14:paraId="1658C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3CABC436">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6</w:t>
                  </w:r>
                </w:p>
              </w:tc>
              <w:tc>
                <w:tcPr>
                  <w:tcW w:w="1197" w:type="dxa"/>
                  <w:shd w:val="clear" w:color="auto" w:fill="auto"/>
                  <w:tcMar>
                    <w:left w:w="28" w:type="dxa"/>
                    <w:right w:w="28" w:type="dxa"/>
                  </w:tcMar>
                  <w:vAlign w:val="center"/>
                </w:tcPr>
                <w:p w14:paraId="78EA1DB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报废品</w:t>
                  </w:r>
                </w:p>
              </w:tc>
              <w:tc>
                <w:tcPr>
                  <w:tcW w:w="1150" w:type="dxa"/>
                  <w:shd w:val="clear" w:color="auto" w:fill="auto"/>
                  <w:tcMar>
                    <w:left w:w="28" w:type="dxa"/>
                    <w:right w:w="28" w:type="dxa"/>
                  </w:tcMar>
                  <w:vAlign w:val="center"/>
                </w:tcPr>
                <w:p w14:paraId="62D5426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实验室</w:t>
                  </w:r>
                </w:p>
              </w:tc>
              <w:tc>
                <w:tcPr>
                  <w:tcW w:w="741" w:type="dxa"/>
                  <w:shd w:val="clear" w:color="auto" w:fill="auto"/>
                  <w:tcMar>
                    <w:left w:w="28" w:type="dxa"/>
                    <w:right w:w="28" w:type="dxa"/>
                  </w:tcMar>
                  <w:vAlign w:val="center"/>
                </w:tcPr>
                <w:p w14:paraId="40B4556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固态</w:t>
                  </w:r>
                </w:p>
              </w:tc>
              <w:tc>
                <w:tcPr>
                  <w:tcW w:w="1019" w:type="dxa"/>
                  <w:shd w:val="clear" w:color="auto" w:fill="auto"/>
                  <w:tcMar>
                    <w:left w:w="28" w:type="dxa"/>
                    <w:right w:w="28" w:type="dxa"/>
                  </w:tcMar>
                  <w:vAlign w:val="center"/>
                </w:tcPr>
                <w:p w14:paraId="2D09161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玻璃基板</w:t>
                  </w:r>
                </w:p>
              </w:tc>
              <w:tc>
                <w:tcPr>
                  <w:tcW w:w="877" w:type="dxa"/>
                  <w:shd w:val="clear" w:color="auto" w:fill="auto"/>
                  <w:tcMar>
                    <w:left w:w="28" w:type="dxa"/>
                    <w:right w:w="28" w:type="dxa"/>
                  </w:tcMar>
                  <w:vAlign w:val="center"/>
                </w:tcPr>
                <w:p w14:paraId="63D457DA">
                  <w:pPr>
                    <w:jc w:val="center"/>
                    <w:rPr>
                      <w:rFonts w:hint="default" w:ascii="Times New Roman" w:hAnsi="Times New Roman" w:eastAsia="宋体" w:cs="Times New Roman"/>
                      <w:color w:val="auto"/>
                      <w:kern w:val="2"/>
                      <w:sz w:val="21"/>
                      <w:szCs w:val="24"/>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749B932B">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1658D51A">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14177626">
                  <w:pPr>
                    <w:jc w:val="center"/>
                    <w:rPr>
                      <w:rFonts w:hint="default" w:ascii="Times New Roman" w:hAnsi="Times New Roman" w:cs="Times New Roman"/>
                      <w:color w:val="auto"/>
                      <w:szCs w:val="21"/>
                      <w:highlight w:val="none"/>
                    </w:rPr>
                  </w:pPr>
                </w:p>
              </w:tc>
            </w:tr>
            <w:tr w14:paraId="19B25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351D148D">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7</w:t>
                  </w:r>
                </w:p>
              </w:tc>
              <w:tc>
                <w:tcPr>
                  <w:tcW w:w="1197" w:type="dxa"/>
                  <w:shd w:val="clear" w:color="auto" w:fill="auto"/>
                  <w:tcMar>
                    <w:left w:w="28" w:type="dxa"/>
                    <w:right w:w="28" w:type="dxa"/>
                  </w:tcMar>
                  <w:vAlign w:val="center"/>
                </w:tcPr>
                <w:p w14:paraId="44ED56D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废气处理设施废活性炭</w:t>
                  </w:r>
                </w:p>
              </w:tc>
              <w:tc>
                <w:tcPr>
                  <w:tcW w:w="1150" w:type="dxa"/>
                  <w:shd w:val="clear" w:color="auto" w:fill="auto"/>
                  <w:tcMar>
                    <w:left w:w="28" w:type="dxa"/>
                    <w:right w:w="28" w:type="dxa"/>
                  </w:tcMar>
                  <w:vAlign w:val="center"/>
                </w:tcPr>
                <w:p w14:paraId="34A9D66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废气处理设施</w:t>
                  </w:r>
                </w:p>
              </w:tc>
              <w:tc>
                <w:tcPr>
                  <w:tcW w:w="741" w:type="dxa"/>
                  <w:shd w:val="clear" w:color="auto" w:fill="auto"/>
                  <w:tcMar>
                    <w:left w:w="28" w:type="dxa"/>
                    <w:right w:w="28" w:type="dxa"/>
                  </w:tcMar>
                  <w:vAlign w:val="center"/>
                </w:tcPr>
                <w:p w14:paraId="29887F0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固态</w:t>
                  </w:r>
                </w:p>
              </w:tc>
              <w:tc>
                <w:tcPr>
                  <w:tcW w:w="1019" w:type="dxa"/>
                  <w:shd w:val="clear" w:color="auto" w:fill="auto"/>
                  <w:tcMar>
                    <w:left w:w="28" w:type="dxa"/>
                    <w:right w:w="28" w:type="dxa"/>
                  </w:tcMar>
                  <w:vAlign w:val="center"/>
                </w:tcPr>
                <w:p w14:paraId="5FF0D09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活性炭</w:t>
                  </w:r>
                </w:p>
              </w:tc>
              <w:tc>
                <w:tcPr>
                  <w:tcW w:w="877" w:type="dxa"/>
                  <w:shd w:val="clear" w:color="auto" w:fill="auto"/>
                  <w:tcMar>
                    <w:left w:w="28" w:type="dxa"/>
                    <w:right w:w="28" w:type="dxa"/>
                  </w:tcMar>
                  <w:vAlign w:val="center"/>
                </w:tcPr>
                <w:p w14:paraId="5C8DA929">
                  <w:pPr>
                    <w:jc w:val="center"/>
                    <w:rPr>
                      <w:rFonts w:hint="default" w:ascii="Times New Roman" w:hAnsi="Times New Roman" w:eastAsia="宋体" w:cs="Times New Roman"/>
                      <w:color w:val="auto"/>
                      <w:kern w:val="2"/>
                      <w:sz w:val="21"/>
                      <w:szCs w:val="21"/>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08CC8DAB">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5B691972">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77B075D1">
                  <w:pPr>
                    <w:jc w:val="center"/>
                    <w:rPr>
                      <w:rFonts w:hint="default" w:ascii="Times New Roman" w:hAnsi="Times New Roman" w:cs="Times New Roman"/>
                      <w:color w:val="auto"/>
                      <w:szCs w:val="21"/>
                      <w:highlight w:val="none"/>
                    </w:rPr>
                  </w:pPr>
                </w:p>
              </w:tc>
            </w:tr>
            <w:tr w14:paraId="647A5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1FA6B094">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8</w:t>
                  </w:r>
                </w:p>
              </w:tc>
              <w:tc>
                <w:tcPr>
                  <w:tcW w:w="1197" w:type="dxa"/>
                  <w:shd w:val="clear" w:color="auto" w:fill="auto"/>
                  <w:tcMar>
                    <w:left w:w="28" w:type="dxa"/>
                    <w:right w:w="28" w:type="dxa"/>
                  </w:tcMar>
                  <w:vAlign w:val="center"/>
                </w:tcPr>
                <w:p w14:paraId="4607EA4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清洗废液</w:t>
                  </w:r>
                </w:p>
              </w:tc>
              <w:tc>
                <w:tcPr>
                  <w:tcW w:w="1150" w:type="dxa"/>
                  <w:shd w:val="clear" w:color="auto" w:fill="auto"/>
                  <w:tcMar>
                    <w:left w:w="28" w:type="dxa"/>
                    <w:right w:w="28" w:type="dxa"/>
                  </w:tcMar>
                  <w:vAlign w:val="center"/>
                </w:tcPr>
                <w:p w14:paraId="5A830C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清洗</w:t>
                  </w:r>
                </w:p>
              </w:tc>
              <w:tc>
                <w:tcPr>
                  <w:tcW w:w="741" w:type="dxa"/>
                  <w:shd w:val="clear" w:color="auto" w:fill="auto"/>
                  <w:tcMar>
                    <w:left w:w="28" w:type="dxa"/>
                    <w:right w:w="28" w:type="dxa"/>
                  </w:tcMar>
                  <w:vAlign w:val="center"/>
                </w:tcPr>
                <w:p w14:paraId="572AE6B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液态</w:t>
                  </w:r>
                </w:p>
              </w:tc>
              <w:tc>
                <w:tcPr>
                  <w:tcW w:w="1019" w:type="dxa"/>
                  <w:shd w:val="clear" w:color="auto" w:fill="auto"/>
                  <w:tcMar>
                    <w:left w:w="28" w:type="dxa"/>
                    <w:right w:w="28" w:type="dxa"/>
                  </w:tcMar>
                  <w:vAlign w:val="center"/>
                </w:tcPr>
                <w:p w14:paraId="339C379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清洗剂，水</w:t>
                  </w:r>
                </w:p>
              </w:tc>
              <w:tc>
                <w:tcPr>
                  <w:tcW w:w="877" w:type="dxa"/>
                  <w:shd w:val="clear" w:color="auto" w:fill="auto"/>
                  <w:tcMar>
                    <w:left w:w="28" w:type="dxa"/>
                    <w:right w:w="28" w:type="dxa"/>
                  </w:tcMar>
                  <w:vAlign w:val="center"/>
                </w:tcPr>
                <w:p w14:paraId="4871E166">
                  <w:pPr>
                    <w:jc w:val="center"/>
                    <w:rPr>
                      <w:rFonts w:hint="default" w:ascii="Times New Roman" w:hAnsi="Times New Roman" w:eastAsia="宋体" w:cs="Times New Roman"/>
                      <w:color w:val="auto"/>
                      <w:kern w:val="2"/>
                      <w:sz w:val="21"/>
                      <w:szCs w:val="21"/>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543C702C">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708BA161">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5D8B499E">
                  <w:pPr>
                    <w:jc w:val="center"/>
                    <w:rPr>
                      <w:rFonts w:hint="default" w:ascii="Times New Roman" w:hAnsi="Times New Roman" w:cs="Times New Roman"/>
                      <w:color w:val="auto"/>
                      <w:szCs w:val="21"/>
                      <w:highlight w:val="none"/>
                    </w:rPr>
                  </w:pPr>
                </w:p>
              </w:tc>
            </w:tr>
            <w:tr w14:paraId="1F52D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1F329000">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w:t>
                  </w:r>
                </w:p>
              </w:tc>
              <w:tc>
                <w:tcPr>
                  <w:tcW w:w="1197" w:type="dxa"/>
                  <w:shd w:val="clear" w:color="auto" w:fill="auto"/>
                  <w:tcMar>
                    <w:left w:w="28" w:type="dxa"/>
                    <w:right w:w="28" w:type="dxa"/>
                  </w:tcMar>
                  <w:vAlign w:val="center"/>
                </w:tcPr>
                <w:p w14:paraId="05B8757A">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eastAsia="zh-CN"/>
                    </w:rPr>
                    <w:t>废擦拭乙醇</w:t>
                  </w:r>
                </w:p>
              </w:tc>
              <w:tc>
                <w:tcPr>
                  <w:tcW w:w="1150" w:type="dxa"/>
                  <w:shd w:val="clear" w:color="auto" w:fill="auto"/>
                  <w:tcMar>
                    <w:left w:w="28" w:type="dxa"/>
                    <w:right w:w="28" w:type="dxa"/>
                  </w:tcMar>
                  <w:vAlign w:val="center"/>
                </w:tcPr>
                <w:p w14:paraId="7E765F7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擦拭</w:t>
                  </w:r>
                </w:p>
              </w:tc>
              <w:tc>
                <w:tcPr>
                  <w:tcW w:w="741" w:type="dxa"/>
                  <w:shd w:val="clear" w:color="auto" w:fill="auto"/>
                  <w:tcMar>
                    <w:left w:w="28" w:type="dxa"/>
                    <w:right w:w="28" w:type="dxa"/>
                  </w:tcMar>
                  <w:vAlign w:val="center"/>
                </w:tcPr>
                <w:p w14:paraId="079D9E9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液态</w:t>
                  </w:r>
                </w:p>
              </w:tc>
              <w:tc>
                <w:tcPr>
                  <w:tcW w:w="1019" w:type="dxa"/>
                  <w:shd w:val="clear" w:color="auto" w:fill="auto"/>
                  <w:tcMar>
                    <w:left w:w="28" w:type="dxa"/>
                    <w:right w:w="28" w:type="dxa"/>
                  </w:tcMar>
                  <w:vAlign w:val="center"/>
                </w:tcPr>
                <w:p w14:paraId="20EED5B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乙醇</w:t>
                  </w:r>
                </w:p>
              </w:tc>
              <w:tc>
                <w:tcPr>
                  <w:tcW w:w="877" w:type="dxa"/>
                  <w:shd w:val="clear" w:color="auto" w:fill="auto"/>
                  <w:tcMar>
                    <w:left w:w="28" w:type="dxa"/>
                    <w:right w:w="28" w:type="dxa"/>
                  </w:tcMar>
                  <w:vAlign w:val="center"/>
                </w:tcPr>
                <w:p w14:paraId="5C0E2E66">
                  <w:pPr>
                    <w:jc w:val="center"/>
                    <w:rPr>
                      <w:rFonts w:hint="default" w:ascii="Times New Roman" w:hAnsi="Times New Roman" w:eastAsia="宋体" w:cs="Times New Roman"/>
                      <w:color w:val="auto"/>
                      <w:kern w:val="2"/>
                      <w:sz w:val="21"/>
                      <w:szCs w:val="21"/>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0BE17099">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1A19098B">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77E4BD32">
                  <w:pPr>
                    <w:jc w:val="center"/>
                    <w:rPr>
                      <w:rFonts w:hint="default" w:ascii="Times New Roman" w:hAnsi="Times New Roman" w:cs="Times New Roman"/>
                      <w:color w:val="auto"/>
                      <w:szCs w:val="21"/>
                      <w:highlight w:val="none"/>
                    </w:rPr>
                  </w:pPr>
                </w:p>
              </w:tc>
            </w:tr>
            <w:tr w14:paraId="304C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tcMar>
                    <w:left w:w="28" w:type="dxa"/>
                    <w:right w:w="28" w:type="dxa"/>
                  </w:tcMar>
                  <w:vAlign w:val="center"/>
                </w:tcPr>
                <w:p w14:paraId="18DA05B3">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10</w:t>
                  </w:r>
                </w:p>
              </w:tc>
              <w:tc>
                <w:tcPr>
                  <w:tcW w:w="1197" w:type="dxa"/>
                  <w:shd w:val="clear" w:color="auto" w:fill="auto"/>
                  <w:tcMar>
                    <w:left w:w="28" w:type="dxa"/>
                    <w:right w:w="28" w:type="dxa"/>
                  </w:tcMar>
                  <w:vAlign w:val="center"/>
                </w:tcPr>
                <w:p w14:paraId="0F102FF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实验配液间废一次性器具及防护用品</w:t>
                  </w:r>
                </w:p>
              </w:tc>
              <w:tc>
                <w:tcPr>
                  <w:tcW w:w="1150" w:type="dxa"/>
                  <w:shd w:val="clear" w:color="auto" w:fill="auto"/>
                  <w:tcMar>
                    <w:left w:w="28" w:type="dxa"/>
                    <w:right w:w="28" w:type="dxa"/>
                  </w:tcMar>
                  <w:vAlign w:val="center"/>
                </w:tcPr>
                <w:p w14:paraId="55D591C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实验室</w:t>
                  </w:r>
                </w:p>
              </w:tc>
              <w:tc>
                <w:tcPr>
                  <w:tcW w:w="741" w:type="dxa"/>
                  <w:shd w:val="clear" w:color="auto" w:fill="auto"/>
                  <w:tcMar>
                    <w:left w:w="28" w:type="dxa"/>
                    <w:right w:w="28" w:type="dxa"/>
                  </w:tcMar>
                  <w:vAlign w:val="center"/>
                </w:tcPr>
                <w:p w14:paraId="47C0B72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固态</w:t>
                  </w:r>
                </w:p>
              </w:tc>
              <w:tc>
                <w:tcPr>
                  <w:tcW w:w="1019" w:type="dxa"/>
                  <w:shd w:val="clear" w:color="auto" w:fill="auto"/>
                  <w:tcMar>
                    <w:left w:w="28" w:type="dxa"/>
                    <w:right w:w="28" w:type="dxa"/>
                  </w:tcMar>
                  <w:vAlign w:val="center"/>
                </w:tcPr>
                <w:p w14:paraId="404545B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77" w:type="dxa"/>
                  <w:shd w:val="clear" w:color="auto" w:fill="auto"/>
                  <w:tcMar>
                    <w:left w:w="28" w:type="dxa"/>
                    <w:right w:w="28" w:type="dxa"/>
                  </w:tcMar>
                  <w:vAlign w:val="center"/>
                </w:tcPr>
                <w:p w14:paraId="35E16E70">
                  <w:pPr>
                    <w:jc w:val="center"/>
                    <w:rPr>
                      <w:rFonts w:hint="default" w:ascii="Times New Roman" w:hAnsi="Times New Roman" w:eastAsia="宋体" w:cs="Times New Roman"/>
                      <w:color w:val="auto"/>
                      <w:kern w:val="2"/>
                      <w:sz w:val="21"/>
                      <w:szCs w:val="24"/>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21CA65C5">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330EDA12">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44F8EEBF">
                  <w:pPr>
                    <w:jc w:val="center"/>
                    <w:rPr>
                      <w:rFonts w:hint="default" w:ascii="Times New Roman" w:hAnsi="Times New Roman" w:cs="Times New Roman"/>
                      <w:color w:val="auto"/>
                      <w:szCs w:val="21"/>
                      <w:highlight w:val="none"/>
                    </w:rPr>
                  </w:pPr>
                </w:p>
              </w:tc>
            </w:tr>
            <w:tr w14:paraId="064BE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1" w:type="dxa"/>
                  <w:tcMar>
                    <w:left w:w="28" w:type="dxa"/>
                    <w:right w:w="28" w:type="dxa"/>
                  </w:tcMar>
                  <w:vAlign w:val="center"/>
                </w:tcPr>
                <w:p w14:paraId="4EBC4080">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11</w:t>
                  </w:r>
                </w:p>
              </w:tc>
              <w:tc>
                <w:tcPr>
                  <w:tcW w:w="1197" w:type="dxa"/>
                  <w:shd w:val="clear" w:color="auto" w:fill="auto"/>
                  <w:tcMar>
                    <w:left w:w="28" w:type="dxa"/>
                    <w:right w:w="28" w:type="dxa"/>
                  </w:tcMar>
                  <w:vAlign w:val="center"/>
                </w:tcPr>
                <w:p w14:paraId="2C7E726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废涂布溶液</w:t>
                  </w:r>
                </w:p>
              </w:tc>
              <w:tc>
                <w:tcPr>
                  <w:tcW w:w="1150" w:type="dxa"/>
                  <w:shd w:val="clear" w:color="auto" w:fill="auto"/>
                  <w:tcMar>
                    <w:left w:w="28" w:type="dxa"/>
                    <w:right w:w="28" w:type="dxa"/>
                  </w:tcMar>
                  <w:vAlign w:val="center"/>
                </w:tcPr>
                <w:p w14:paraId="5C5BFBA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实验室</w:t>
                  </w:r>
                </w:p>
              </w:tc>
              <w:tc>
                <w:tcPr>
                  <w:tcW w:w="741" w:type="dxa"/>
                  <w:shd w:val="clear" w:color="auto" w:fill="auto"/>
                  <w:tcMar>
                    <w:left w:w="28" w:type="dxa"/>
                    <w:right w:w="28" w:type="dxa"/>
                  </w:tcMar>
                  <w:vAlign w:val="center"/>
                </w:tcPr>
                <w:p w14:paraId="204FED0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液态</w:t>
                  </w:r>
                </w:p>
              </w:tc>
              <w:tc>
                <w:tcPr>
                  <w:tcW w:w="1019" w:type="dxa"/>
                  <w:shd w:val="clear" w:color="auto" w:fill="auto"/>
                  <w:tcMar>
                    <w:left w:w="28" w:type="dxa"/>
                    <w:right w:w="28" w:type="dxa"/>
                  </w:tcMar>
                  <w:vAlign w:val="center"/>
                </w:tcPr>
                <w:p w14:paraId="46C7A11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碘化铅，碘化铯</w:t>
                  </w:r>
                  <w:r>
                    <w:rPr>
                      <w:rFonts w:hint="default" w:ascii="Times New Roman" w:hAnsi="Times New Roman" w:cs="Times New Roman"/>
                      <w:color w:val="auto"/>
                      <w:szCs w:val="21"/>
                      <w:highlight w:val="none"/>
                    </w:rPr>
                    <w:t>等</w:t>
                  </w:r>
                </w:p>
              </w:tc>
              <w:tc>
                <w:tcPr>
                  <w:tcW w:w="877" w:type="dxa"/>
                  <w:shd w:val="clear" w:color="auto" w:fill="auto"/>
                  <w:tcMar>
                    <w:left w:w="28" w:type="dxa"/>
                    <w:right w:w="28" w:type="dxa"/>
                  </w:tcMar>
                  <w:vAlign w:val="center"/>
                </w:tcPr>
                <w:p w14:paraId="495A22A1">
                  <w:pPr>
                    <w:jc w:val="center"/>
                    <w:rPr>
                      <w:rFonts w:hint="default" w:ascii="Times New Roman" w:hAnsi="Times New Roman" w:eastAsia="宋体" w:cs="Times New Roman"/>
                      <w:color w:val="auto"/>
                      <w:kern w:val="2"/>
                      <w:sz w:val="21"/>
                      <w:szCs w:val="24"/>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01930359">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7A533F94">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vMerge w:val="continue"/>
                  <w:tcMar>
                    <w:left w:w="28" w:type="dxa"/>
                    <w:right w:w="28" w:type="dxa"/>
                  </w:tcMar>
                  <w:vAlign w:val="center"/>
                </w:tcPr>
                <w:p w14:paraId="2C169D8D">
                  <w:pPr>
                    <w:jc w:val="center"/>
                    <w:rPr>
                      <w:rFonts w:hint="default" w:ascii="Times New Roman" w:hAnsi="Times New Roman" w:cs="Times New Roman"/>
                      <w:color w:val="auto"/>
                      <w:szCs w:val="21"/>
                      <w:highlight w:val="none"/>
                    </w:rPr>
                  </w:pPr>
                </w:p>
              </w:tc>
            </w:tr>
            <w:tr w14:paraId="21CAA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1" w:type="dxa"/>
                  <w:tcMar>
                    <w:left w:w="28" w:type="dxa"/>
                    <w:right w:w="28" w:type="dxa"/>
                  </w:tcMar>
                  <w:vAlign w:val="center"/>
                </w:tcPr>
                <w:p w14:paraId="31B2AD81">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12</w:t>
                  </w:r>
                </w:p>
              </w:tc>
              <w:tc>
                <w:tcPr>
                  <w:tcW w:w="1197" w:type="dxa"/>
                  <w:shd w:val="clear" w:color="auto" w:fill="auto"/>
                  <w:tcMar>
                    <w:left w:w="28" w:type="dxa"/>
                    <w:right w:w="28" w:type="dxa"/>
                  </w:tcMar>
                  <w:vAlign w:val="center"/>
                </w:tcPr>
                <w:p w14:paraId="3805F50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化学品废包装材料</w:t>
                  </w:r>
                </w:p>
              </w:tc>
              <w:tc>
                <w:tcPr>
                  <w:tcW w:w="1150" w:type="dxa"/>
                  <w:shd w:val="clear" w:color="auto" w:fill="auto"/>
                  <w:tcMar>
                    <w:left w:w="28" w:type="dxa"/>
                    <w:right w:w="28" w:type="dxa"/>
                  </w:tcMar>
                  <w:vAlign w:val="center"/>
                </w:tcPr>
                <w:p w14:paraId="29EB8AF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化学品包装</w:t>
                  </w:r>
                </w:p>
              </w:tc>
              <w:tc>
                <w:tcPr>
                  <w:tcW w:w="741" w:type="dxa"/>
                  <w:shd w:val="clear" w:color="auto" w:fill="auto"/>
                  <w:tcMar>
                    <w:left w:w="28" w:type="dxa"/>
                    <w:right w:w="28" w:type="dxa"/>
                  </w:tcMar>
                  <w:vAlign w:val="center"/>
                </w:tcPr>
                <w:p w14:paraId="1DF90C1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固态</w:t>
                  </w:r>
                </w:p>
              </w:tc>
              <w:tc>
                <w:tcPr>
                  <w:tcW w:w="1019" w:type="dxa"/>
                  <w:shd w:val="clear" w:color="auto" w:fill="auto"/>
                  <w:tcMar>
                    <w:left w:w="28" w:type="dxa"/>
                    <w:right w:w="28" w:type="dxa"/>
                  </w:tcMar>
                  <w:vAlign w:val="center"/>
                </w:tcPr>
                <w:p w14:paraId="1A26869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化学品</w:t>
                  </w:r>
                </w:p>
              </w:tc>
              <w:tc>
                <w:tcPr>
                  <w:tcW w:w="877" w:type="dxa"/>
                  <w:shd w:val="clear" w:color="auto" w:fill="auto"/>
                  <w:tcMar>
                    <w:left w:w="28" w:type="dxa"/>
                    <w:right w:w="28" w:type="dxa"/>
                  </w:tcMar>
                  <w:vAlign w:val="center"/>
                </w:tcPr>
                <w:p w14:paraId="14AACAD0">
                  <w:pPr>
                    <w:jc w:val="center"/>
                    <w:rPr>
                      <w:rFonts w:hint="default" w:ascii="Times New Roman" w:hAnsi="Times New Roman" w:eastAsia="宋体" w:cs="Times New Roman"/>
                      <w:color w:val="auto"/>
                      <w:kern w:val="2"/>
                      <w:sz w:val="21"/>
                      <w:szCs w:val="24"/>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4865EDC4">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38DC5673">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tcMar>
                    <w:left w:w="28" w:type="dxa"/>
                    <w:right w:w="28" w:type="dxa"/>
                  </w:tcMar>
                  <w:vAlign w:val="center"/>
                </w:tcPr>
                <w:p w14:paraId="6FFAB4F2">
                  <w:pPr>
                    <w:jc w:val="center"/>
                    <w:rPr>
                      <w:rFonts w:hint="default" w:ascii="Times New Roman" w:hAnsi="Times New Roman" w:cs="Times New Roman"/>
                      <w:color w:val="auto"/>
                      <w:szCs w:val="21"/>
                      <w:highlight w:val="none"/>
                    </w:rPr>
                  </w:pPr>
                </w:p>
              </w:tc>
            </w:tr>
            <w:tr w14:paraId="17660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1" w:type="dxa"/>
                  <w:tcMar>
                    <w:left w:w="28" w:type="dxa"/>
                    <w:right w:w="28" w:type="dxa"/>
                  </w:tcMar>
                  <w:vAlign w:val="center"/>
                </w:tcPr>
                <w:p w14:paraId="7E283AFC">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13</w:t>
                  </w:r>
                </w:p>
              </w:tc>
              <w:tc>
                <w:tcPr>
                  <w:tcW w:w="1197" w:type="dxa"/>
                  <w:shd w:val="clear" w:color="auto" w:fill="auto"/>
                  <w:tcMar>
                    <w:left w:w="28" w:type="dxa"/>
                    <w:right w:w="28" w:type="dxa"/>
                  </w:tcMar>
                  <w:vAlign w:val="center"/>
                </w:tcPr>
                <w:p w14:paraId="578076E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废润滑油</w:t>
                  </w:r>
                </w:p>
              </w:tc>
              <w:tc>
                <w:tcPr>
                  <w:tcW w:w="1150" w:type="dxa"/>
                  <w:shd w:val="clear" w:color="auto" w:fill="auto"/>
                  <w:tcMar>
                    <w:left w:w="28" w:type="dxa"/>
                    <w:right w:w="28" w:type="dxa"/>
                  </w:tcMar>
                  <w:vAlign w:val="center"/>
                </w:tcPr>
                <w:p w14:paraId="65240B4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实验室</w:t>
                  </w:r>
                </w:p>
              </w:tc>
              <w:tc>
                <w:tcPr>
                  <w:tcW w:w="741" w:type="dxa"/>
                  <w:shd w:val="clear" w:color="auto" w:fill="auto"/>
                  <w:tcMar>
                    <w:left w:w="28" w:type="dxa"/>
                    <w:right w:w="28" w:type="dxa"/>
                  </w:tcMar>
                  <w:vAlign w:val="center"/>
                </w:tcPr>
                <w:p w14:paraId="6D03AE3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液态</w:t>
                  </w:r>
                </w:p>
              </w:tc>
              <w:tc>
                <w:tcPr>
                  <w:tcW w:w="1019" w:type="dxa"/>
                  <w:shd w:val="clear" w:color="auto" w:fill="auto"/>
                  <w:tcMar>
                    <w:left w:w="28" w:type="dxa"/>
                    <w:right w:w="28" w:type="dxa"/>
                  </w:tcMar>
                  <w:vAlign w:val="center"/>
                </w:tcPr>
                <w:p w14:paraId="6558DD4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77" w:type="dxa"/>
                  <w:shd w:val="clear" w:color="auto" w:fill="auto"/>
                  <w:tcMar>
                    <w:left w:w="28" w:type="dxa"/>
                    <w:right w:w="28" w:type="dxa"/>
                  </w:tcMar>
                  <w:vAlign w:val="center"/>
                </w:tcPr>
                <w:p w14:paraId="2227EADE">
                  <w:pPr>
                    <w:jc w:val="center"/>
                    <w:rPr>
                      <w:rFonts w:hint="default" w:ascii="Times New Roman" w:hAnsi="Times New Roman" w:eastAsia="宋体" w:cs="Times New Roman"/>
                      <w:color w:val="auto"/>
                      <w:kern w:val="2"/>
                      <w:sz w:val="21"/>
                      <w:szCs w:val="24"/>
                      <w:highlight w:val="none"/>
                      <w:lang w:val="en-US" w:eastAsia="zh-CN" w:bidi="zh-CN"/>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254B5AEE">
                  <w:pPr>
                    <w:pStyle w:val="8"/>
                    <w:jc w:val="center"/>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08913BC7">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tcMar>
                    <w:left w:w="28" w:type="dxa"/>
                    <w:right w:w="28" w:type="dxa"/>
                  </w:tcMar>
                  <w:vAlign w:val="center"/>
                </w:tcPr>
                <w:p w14:paraId="6C0D6524">
                  <w:pPr>
                    <w:jc w:val="center"/>
                    <w:rPr>
                      <w:rFonts w:hint="default" w:ascii="Times New Roman" w:hAnsi="Times New Roman" w:cs="Times New Roman"/>
                      <w:color w:val="auto"/>
                      <w:szCs w:val="21"/>
                      <w:highlight w:val="none"/>
                    </w:rPr>
                  </w:pPr>
                </w:p>
              </w:tc>
            </w:tr>
            <w:tr w14:paraId="21BA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1" w:type="dxa"/>
                  <w:tcMar>
                    <w:left w:w="28" w:type="dxa"/>
                    <w:right w:w="28" w:type="dxa"/>
                  </w:tcMar>
                  <w:vAlign w:val="center"/>
                </w:tcPr>
                <w:p w14:paraId="2D873633">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14</w:t>
                  </w:r>
                </w:p>
              </w:tc>
              <w:tc>
                <w:tcPr>
                  <w:tcW w:w="1197" w:type="dxa"/>
                  <w:shd w:val="clear" w:color="auto" w:fill="auto"/>
                  <w:tcMar>
                    <w:left w:w="28" w:type="dxa"/>
                    <w:right w:w="28" w:type="dxa"/>
                  </w:tcMar>
                  <w:vAlign w:val="center"/>
                </w:tcPr>
                <w:p w14:paraId="09E9259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生活垃圾</w:t>
                  </w:r>
                </w:p>
              </w:tc>
              <w:tc>
                <w:tcPr>
                  <w:tcW w:w="1150" w:type="dxa"/>
                  <w:shd w:val="clear" w:color="auto" w:fill="auto"/>
                  <w:tcMar>
                    <w:left w:w="28" w:type="dxa"/>
                    <w:right w:w="28" w:type="dxa"/>
                  </w:tcMar>
                  <w:vAlign w:val="center"/>
                </w:tcPr>
                <w:p w14:paraId="5E52B1C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员工生活</w:t>
                  </w:r>
                </w:p>
              </w:tc>
              <w:tc>
                <w:tcPr>
                  <w:tcW w:w="741" w:type="dxa"/>
                  <w:shd w:val="clear" w:color="auto" w:fill="auto"/>
                  <w:tcMar>
                    <w:left w:w="28" w:type="dxa"/>
                    <w:right w:w="28" w:type="dxa"/>
                  </w:tcMar>
                  <w:vAlign w:val="center"/>
                </w:tcPr>
                <w:p w14:paraId="685F2A9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半固态</w:t>
                  </w:r>
                </w:p>
              </w:tc>
              <w:tc>
                <w:tcPr>
                  <w:tcW w:w="1019" w:type="dxa"/>
                  <w:shd w:val="clear" w:color="auto" w:fill="auto"/>
                  <w:tcMar>
                    <w:left w:w="28" w:type="dxa"/>
                    <w:right w:w="28" w:type="dxa"/>
                  </w:tcMar>
                  <w:vAlign w:val="center"/>
                </w:tcPr>
                <w:p w14:paraId="18E77C3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员工生活垃圾</w:t>
                  </w:r>
                </w:p>
              </w:tc>
              <w:tc>
                <w:tcPr>
                  <w:tcW w:w="877" w:type="dxa"/>
                  <w:shd w:val="clear" w:color="auto" w:fill="auto"/>
                  <w:tcMar>
                    <w:left w:w="28" w:type="dxa"/>
                    <w:right w:w="28" w:type="dxa"/>
                  </w:tcMar>
                  <w:vAlign w:val="center"/>
                </w:tcPr>
                <w:p w14:paraId="5F977BEA">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4"/>
                      <w:szCs w:val="24"/>
                      <w:highlight w:val="none"/>
                      <w:lang w:val="en-US" w:eastAsia="zh-CN"/>
                    </w:rPr>
                    <w:t>***</w:t>
                  </w:r>
                </w:p>
              </w:tc>
              <w:tc>
                <w:tcPr>
                  <w:tcW w:w="856" w:type="dxa"/>
                  <w:shd w:val="clear" w:color="auto" w:fill="auto"/>
                  <w:tcMar>
                    <w:left w:w="28" w:type="dxa"/>
                    <w:right w:w="28" w:type="dxa"/>
                  </w:tcMar>
                  <w:vAlign w:val="center"/>
                </w:tcPr>
                <w:p w14:paraId="50AB8A5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680" w:type="dxa"/>
                  <w:shd w:val="clear" w:color="auto" w:fill="auto"/>
                  <w:tcMar>
                    <w:left w:w="28" w:type="dxa"/>
                    <w:right w:w="28" w:type="dxa"/>
                  </w:tcMar>
                  <w:vAlign w:val="center"/>
                </w:tcPr>
                <w:p w14:paraId="32E0746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w:t>
                  </w:r>
                </w:p>
              </w:tc>
              <w:tc>
                <w:tcPr>
                  <w:tcW w:w="856" w:type="dxa"/>
                  <w:tcMar>
                    <w:left w:w="28" w:type="dxa"/>
                    <w:right w:w="28" w:type="dxa"/>
                  </w:tcMar>
                  <w:vAlign w:val="center"/>
                </w:tcPr>
                <w:p w14:paraId="560B8184">
                  <w:pPr>
                    <w:jc w:val="center"/>
                    <w:rPr>
                      <w:rFonts w:hint="default" w:ascii="Times New Roman" w:hAnsi="Times New Roman" w:cs="Times New Roman"/>
                      <w:color w:val="auto"/>
                      <w:szCs w:val="21"/>
                      <w:highlight w:val="none"/>
                    </w:rPr>
                  </w:pPr>
                </w:p>
              </w:tc>
            </w:tr>
          </w:tbl>
          <w:p w14:paraId="318EBC8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②固体废物危险性判定</w:t>
            </w:r>
          </w:p>
          <w:p w14:paraId="7C8C179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根据《国家危险废物名录》（2021版）以及危险废物鉴别标准，判定以上固体废物是否属于危险废物，分析结果详见下表：</w:t>
            </w:r>
          </w:p>
          <w:p w14:paraId="639E105C">
            <w:pPr>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表4.1</w:t>
            </w: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 xml:space="preserve">  项目危险废物基本情况表 单位t/a</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771"/>
              <w:gridCol w:w="1502"/>
              <w:gridCol w:w="1156"/>
              <w:gridCol w:w="1094"/>
              <w:gridCol w:w="828"/>
              <w:gridCol w:w="1152"/>
            </w:tblGrid>
            <w:tr w14:paraId="6D40436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10" w:type="dxa"/>
                  <w:textDirection w:val="tbRlV"/>
                  <w:vAlign w:val="center"/>
                </w:tcPr>
                <w:p w14:paraId="206C686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 号</w:t>
                  </w:r>
                </w:p>
              </w:tc>
              <w:tc>
                <w:tcPr>
                  <w:tcW w:w="1771" w:type="dxa"/>
                  <w:vAlign w:val="center"/>
                </w:tcPr>
                <w:p w14:paraId="4FA7BC3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502" w:type="dxa"/>
                  <w:vAlign w:val="center"/>
                </w:tcPr>
                <w:p w14:paraId="6A8D811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废物代码</w:t>
                  </w:r>
                </w:p>
              </w:tc>
              <w:tc>
                <w:tcPr>
                  <w:tcW w:w="1156" w:type="dxa"/>
                  <w:vAlign w:val="center"/>
                </w:tcPr>
                <w:p w14:paraId="5E4DBDE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产生量 t/a</w:t>
                  </w:r>
                </w:p>
              </w:tc>
              <w:tc>
                <w:tcPr>
                  <w:tcW w:w="1094" w:type="dxa"/>
                  <w:vAlign w:val="center"/>
                </w:tcPr>
                <w:p w14:paraId="303100D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危险特性</w:t>
                  </w:r>
                </w:p>
              </w:tc>
              <w:tc>
                <w:tcPr>
                  <w:tcW w:w="828" w:type="dxa"/>
                  <w:vAlign w:val="center"/>
                </w:tcPr>
                <w:p w14:paraId="64F798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性状</w:t>
                  </w:r>
                </w:p>
              </w:tc>
              <w:tc>
                <w:tcPr>
                  <w:tcW w:w="1152" w:type="dxa"/>
                  <w:vAlign w:val="center"/>
                </w:tcPr>
                <w:p w14:paraId="4ABB62C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贮存方式</w:t>
                  </w:r>
                </w:p>
              </w:tc>
            </w:tr>
            <w:tr w14:paraId="0EA8EEB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10" w:type="dxa"/>
                  <w:vAlign w:val="center"/>
                </w:tcPr>
                <w:p w14:paraId="6EB6909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771" w:type="dxa"/>
                  <w:vAlign w:val="center"/>
                </w:tcPr>
                <w:p w14:paraId="31D40B0E">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Cs w:val="21"/>
                      <w:highlight w:val="none"/>
                    </w:rPr>
                    <w:t>废气处理设施废活性炭</w:t>
                  </w:r>
                </w:p>
              </w:tc>
              <w:tc>
                <w:tcPr>
                  <w:tcW w:w="1502" w:type="dxa"/>
                  <w:vAlign w:val="center"/>
                </w:tcPr>
                <w:p w14:paraId="56A8C1C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067E20C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900-039-49</w:t>
                  </w:r>
                </w:p>
              </w:tc>
              <w:tc>
                <w:tcPr>
                  <w:tcW w:w="1156" w:type="dxa"/>
                  <w:vAlign w:val="center"/>
                </w:tcPr>
                <w:p w14:paraId="7DF5EE12">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94" w:type="dxa"/>
                  <w:vAlign w:val="center"/>
                </w:tcPr>
                <w:p w14:paraId="63D9F70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w:t>
                  </w:r>
                </w:p>
              </w:tc>
              <w:tc>
                <w:tcPr>
                  <w:tcW w:w="828" w:type="dxa"/>
                  <w:vAlign w:val="center"/>
                </w:tcPr>
                <w:p w14:paraId="003AE1E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固态</w:t>
                  </w:r>
                </w:p>
              </w:tc>
              <w:tc>
                <w:tcPr>
                  <w:tcW w:w="1152" w:type="dxa"/>
                  <w:vMerge w:val="restart"/>
                  <w:tcBorders>
                    <w:bottom w:val="nil"/>
                  </w:tcBorders>
                  <w:vAlign w:val="center"/>
                </w:tcPr>
                <w:p w14:paraId="196D7B1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危废间专</w:t>
                  </w:r>
                </w:p>
                <w:p w14:paraId="7430F71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用容器暂</w:t>
                  </w:r>
                </w:p>
                <w:p w14:paraId="5E6F207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存</w:t>
                  </w:r>
                </w:p>
              </w:tc>
            </w:tr>
            <w:tr w14:paraId="4BC7C6A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10" w:type="dxa"/>
                  <w:vAlign w:val="center"/>
                </w:tcPr>
                <w:p w14:paraId="7600444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771" w:type="dxa"/>
                  <w:vAlign w:val="center"/>
                </w:tcPr>
                <w:p w14:paraId="238586C7">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清洗废液</w:t>
                  </w:r>
                </w:p>
              </w:tc>
              <w:tc>
                <w:tcPr>
                  <w:tcW w:w="1502" w:type="dxa"/>
                  <w:vAlign w:val="top"/>
                </w:tcPr>
                <w:p w14:paraId="4493D754">
                  <w:pPr>
                    <w:spacing w:before="89" w:line="195" w:lineRule="auto"/>
                    <w:ind w:left="439"/>
                    <w:rPr>
                      <w:rFonts w:hint="default" w:ascii="Times New Roman" w:hAnsi="Times New Roman" w:eastAsia="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Times New Roman" w:cs="Times New Roman"/>
                      <w:color w:val="auto"/>
                      <w:spacing w:val="11"/>
                      <w:sz w:val="20"/>
                      <w:szCs w:val="20"/>
                      <w:highlight w:val="none"/>
                    </w:rPr>
                    <w:t>49</w:t>
                  </w:r>
                </w:p>
                <w:p w14:paraId="06596065">
                  <w:pPr>
                    <w:spacing w:before="125" w:line="195" w:lineRule="auto"/>
                    <w:ind w:left="235" w:leftChars="0"/>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3"/>
                      <w:sz w:val="20"/>
                      <w:szCs w:val="20"/>
                      <w:highlight w:val="none"/>
                    </w:rPr>
                    <w:t>900-047-49</w:t>
                  </w:r>
                </w:p>
              </w:tc>
              <w:tc>
                <w:tcPr>
                  <w:tcW w:w="1156" w:type="dxa"/>
                  <w:vAlign w:val="center"/>
                </w:tcPr>
                <w:p w14:paraId="46561B50">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094" w:type="dxa"/>
                  <w:vAlign w:val="center"/>
                </w:tcPr>
                <w:p w14:paraId="10B41F5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T/C</w:t>
                  </w:r>
                </w:p>
              </w:tc>
              <w:tc>
                <w:tcPr>
                  <w:tcW w:w="828" w:type="dxa"/>
                  <w:vAlign w:val="center"/>
                </w:tcPr>
                <w:p w14:paraId="1DEBE1C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液态</w:t>
                  </w:r>
                </w:p>
              </w:tc>
              <w:tc>
                <w:tcPr>
                  <w:tcW w:w="1152" w:type="dxa"/>
                  <w:vMerge w:val="continue"/>
                  <w:tcBorders>
                    <w:top w:val="nil"/>
                    <w:bottom w:val="nil"/>
                  </w:tcBorders>
                  <w:vAlign w:val="center"/>
                </w:tcPr>
                <w:p w14:paraId="64292070">
                  <w:pPr>
                    <w:jc w:val="center"/>
                    <w:rPr>
                      <w:rFonts w:hint="default" w:ascii="Times New Roman" w:hAnsi="Times New Roman" w:cs="Times New Roman"/>
                      <w:color w:val="auto"/>
                      <w:highlight w:val="none"/>
                    </w:rPr>
                  </w:pPr>
                </w:p>
              </w:tc>
            </w:tr>
            <w:tr w14:paraId="380B4E1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10" w:type="dxa"/>
                  <w:vAlign w:val="center"/>
                </w:tcPr>
                <w:p w14:paraId="0FD1BAA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771" w:type="dxa"/>
                  <w:vAlign w:val="center"/>
                </w:tcPr>
                <w:p w14:paraId="2D5B37E7">
                  <w:pPr>
                    <w:jc w:val="center"/>
                    <w:rPr>
                      <w:rFonts w:hint="eastAsia" w:ascii="Times New Roman" w:hAnsi="Times New Roman" w:eastAsia="宋体" w:cs="Times New Roman"/>
                      <w:color w:val="auto"/>
                      <w:highlight w:val="none"/>
                      <w:lang w:eastAsia="zh-CN"/>
                    </w:rPr>
                  </w:pPr>
                  <w:r>
                    <w:rPr>
                      <w:rFonts w:hint="eastAsia" w:cs="Times New Roman"/>
                      <w:color w:val="auto"/>
                      <w:szCs w:val="21"/>
                      <w:highlight w:val="none"/>
                      <w:lang w:eastAsia="zh-CN"/>
                    </w:rPr>
                    <w:t>废擦拭乙醇</w:t>
                  </w:r>
                </w:p>
              </w:tc>
              <w:tc>
                <w:tcPr>
                  <w:tcW w:w="1502" w:type="dxa"/>
                  <w:vAlign w:val="top"/>
                </w:tcPr>
                <w:p w14:paraId="2A49531A">
                  <w:pPr>
                    <w:spacing w:before="89" w:line="195" w:lineRule="auto"/>
                    <w:ind w:left="439"/>
                    <w:rPr>
                      <w:rFonts w:hint="default" w:ascii="Times New Roman" w:hAnsi="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cs="Times New Roman"/>
                      <w:color w:val="auto"/>
                      <w:sz w:val="20"/>
                      <w:szCs w:val="20"/>
                      <w:highlight w:val="none"/>
                    </w:rPr>
                    <w:t>0</w:t>
                  </w:r>
                  <w:r>
                    <w:rPr>
                      <w:rFonts w:hint="default" w:ascii="Times New Roman" w:hAnsi="Times New Roman" w:cs="Times New Roman"/>
                      <w:color w:val="auto"/>
                      <w:spacing w:val="11"/>
                      <w:sz w:val="20"/>
                      <w:szCs w:val="20"/>
                      <w:highlight w:val="none"/>
                    </w:rPr>
                    <w:t>6</w:t>
                  </w:r>
                </w:p>
                <w:p w14:paraId="1EC2E59C">
                  <w:pPr>
                    <w:spacing w:before="125" w:line="195" w:lineRule="auto"/>
                    <w:ind w:left="235" w:leftChars="0"/>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3"/>
                      <w:sz w:val="20"/>
                      <w:szCs w:val="20"/>
                      <w:highlight w:val="none"/>
                    </w:rPr>
                    <w:t>900-</w:t>
                  </w:r>
                  <w:r>
                    <w:rPr>
                      <w:rFonts w:hint="default" w:ascii="Times New Roman" w:hAnsi="Times New Roman" w:cs="Times New Roman"/>
                      <w:color w:val="auto"/>
                      <w:spacing w:val="3"/>
                      <w:sz w:val="20"/>
                      <w:szCs w:val="20"/>
                      <w:highlight w:val="none"/>
                    </w:rPr>
                    <w:t>402</w:t>
                  </w:r>
                  <w:r>
                    <w:rPr>
                      <w:rFonts w:hint="default" w:ascii="Times New Roman" w:hAnsi="Times New Roman" w:eastAsia="Times New Roman" w:cs="Times New Roman"/>
                      <w:color w:val="auto"/>
                      <w:spacing w:val="3"/>
                      <w:sz w:val="20"/>
                      <w:szCs w:val="20"/>
                      <w:highlight w:val="none"/>
                    </w:rPr>
                    <w:t>-</w:t>
                  </w:r>
                  <w:r>
                    <w:rPr>
                      <w:rFonts w:hint="default" w:ascii="Times New Roman" w:hAnsi="Times New Roman" w:cs="Times New Roman"/>
                      <w:color w:val="auto"/>
                      <w:spacing w:val="3"/>
                      <w:sz w:val="20"/>
                      <w:szCs w:val="20"/>
                      <w:highlight w:val="none"/>
                    </w:rPr>
                    <w:t>06</w:t>
                  </w:r>
                </w:p>
              </w:tc>
              <w:tc>
                <w:tcPr>
                  <w:tcW w:w="1156" w:type="dxa"/>
                  <w:vAlign w:val="center"/>
                </w:tcPr>
                <w:p w14:paraId="551E59A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94" w:type="dxa"/>
                  <w:vAlign w:val="center"/>
                </w:tcPr>
                <w:p w14:paraId="45386CE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T/I/R</w:t>
                  </w:r>
                </w:p>
              </w:tc>
              <w:tc>
                <w:tcPr>
                  <w:tcW w:w="828" w:type="dxa"/>
                  <w:vAlign w:val="center"/>
                </w:tcPr>
                <w:p w14:paraId="15F43C3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液态</w:t>
                  </w:r>
                </w:p>
              </w:tc>
              <w:tc>
                <w:tcPr>
                  <w:tcW w:w="1152" w:type="dxa"/>
                  <w:vMerge w:val="continue"/>
                  <w:tcBorders>
                    <w:top w:val="nil"/>
                    <w:bottom w:val="nil"/>
                  </w:tcBorders>
                  <w:vAlign w:val="center"/>
                </w:tcPr>
                <w:p w14:paraId="17C1DE85">
                  <w:pPr>
                    <w:jc w:val="center"/>
                    <w:rPr>
                      <w:rFonts w:hint="default" w:ascii="Times New Roman" w:hAnsi="Times New Roman" w:cs="Times New Roman"/>
                      <w:color w:val="auto"/>
                      <w:highlight w:val="none"/>
                    </w:rPr>
                  </w:pPr>
                </w:p>
              </w:tc>
            </w:tr>
            <w:tr w14:paraId="29C0BEB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10" w:type="dxa"/>
                  <w:vAlign w:val="center"/>
                </w:tcPr>
                <w:p w14:paraId="7FD1FD4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771" w:type="dxa"/>
                  <w:vAlign w:val="center"/>
                </w:tcPr>
                <w:p w14:paraId="1D6128DD">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实验配液间废一次性器具及防护用品</w:t>
                  </w:r>
                </w:p>
              </w:tc>
              <w:tc>
                <w:tcPr>
                  <w:tcW w:w="1502" w:type="dxa"/>
                  <w:vAlign w:val="top"/>
                </w:tcPr>
                <w:p w14:paraId="67A6FCBE">
                  <w:pPr>
                    <w:spacing w:before="91" w:line="195" w:lineRule="auto"/>
                    <w:ind w:left="439"/>
                    <w:rPr>
                      <w:rFonts w:hint="default" w:ascii="Times New Roman" w:hAnsi="Times New Roman" w:eastAsia="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Times New Roman" w:cs="Times New Roman"/>
                      <w:color w:val="auto"/>
                      <w:spacing w:val="11"/>
                      <w:sz w:val="20"/>
                      <w:szCs w:val="20"/>
                      <w:highlight w:val="none"/>
                    </w:rPr>
                    <w:t>49</w:t>
                  </w:r>
                </w:p>
                <w:p w14:paraId="7D78E9C1">
                  <w:pPr>
                    <w:spacing w:before="125" w:line="195" w:lineRule="auto"/>
                    <w:ind w:left="235" w:leftChars="0"/>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3"/>
                      <w:sz w:val="20"/>
                      <w:szCs w:val="20"/>
                      <w:highlight w:val="none"/>
                    </w:rPr>
                    <w:t>900-04</w:t>
                  </w:r>
                  <w:r>
                    <w:rPr>
                      <w:rFonts w:hint="default" w:ascii="Times New Roman" w:hAnsi="Times New Roman" w:cs="Times New Roman"/>
                      <w:color w:val="auto"/>
                      <w:spacing w:val="3"/>
                      <w:sz w:val="20"/>
                      <w:szCs w:val="20"/>
                      <w:highlight w:val="none"/>
                    </w:rPr>
                    <w:t>1</w:t>
                  </w:r>
                  <w:r>
                    <w:rPr>
                      <w:rFonts w:hint="default" w:ascii="Times New Roman" w:hAnsi="Times New Roman" w:eastAsia="Times New Roman" w:cs="Times New Roman"/>
                      <w:color w:val="auto"/>
                      <w:spacing w:val="3"/>
                      <w:sz w:val="20"/>
                      <w:szCs w:val="20"/>
                      <w:highlight w:val="none"/>
                    </w:rPr>
                    <w:t>-49</w:t>
                  </w:r>
                </w:p>
              </w:tc>
              <w:tc>
                <w:tcPr>
                  <w:tcW w:w="1156" w:type="dxa"/>
                  <w:vAlign w:val="center"/>
                </w:tcPr>
                <w:p w14:paraId="5586B04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094" w:type="dxa"/>
                  <w:vAlign w:val="center"/>
                </w:tcPr>
                <w:p w14:paraId="3BF8A6F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w:t>
                  </w:r>
                </w:p>
              </w:tc>
              <w:tc>
                <w:tcPr>
                  <w:tcW w:w="828" w:type="dxa"/>
                  <w:vAlign w:val="center"/>
                </w:tcPr>
                <w:p w14:paraId="14BA1F6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固态</w:t>
                  </w:r>
                </w:p>
              </w:tc>
              <w:tc>
                <w:tcPr>
                  <w:tcW w:w="1152" w:type="dxa"/>
                  <w:vMerge w:val="continue"/>
                  <w:tcBorders>
                    <w:top w:val="nil"/>
                    <w:bottom w:val="nil"/>
                  </w:tcBorders>
                  <w:vAlign w:val="center"/>
                </w:tcPr>
                <w:p w14:paraId="3BF5833D">
                  <w:pPr>
                    <w:jc w:val="center"/>
                    <w:rPr>
                      <w:rFonts w:hint="default" w:ascii="Times New Roman" w:hAnsi="Times New Roman" w:cs="Times New Roman"/>
                      <w:color w:val="auto"/>
                      <w:highlight w:val="none"/>
                    </w:rPr>
                  </w:pPr>
                </w:p>
              </w:tc>
            </w:tr>
            <w:tr w14:paraId="21A685A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10" w:type="dxa"/>
                  <w:vAlign w:val="center"/>
                </w:tcPr>
                <w:p w14:paraId="67FEA92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771" w:type="dxa"/>
                  <w:vAlign w:val="center"/>
                </w:tcPr>
                <w:p w14:paraId="7F4E34ED">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废涂布溶液</w:t>
                  </w:r>
                </w:p>
              </w:tc>
              <w:tc>
                <w:tcPr>
                  <w:tcW w:w="1502" w:type="dxa"/>
                  <w:vAlign w:val="top"/>
                </w:tcPr>
                <w:p w14:paraId="4A1DCB31">
                  <w:pPr>
                    <w:spacing w:before="91" w:line="195" w:lineRule="auto"/>
                    <w:ind w:left="439"/>
                    <w:rPr>
                      <w:rFonts w:hint="default" w:ascii="Times New Roman" w:hAnsi="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cs="Times New Roman"/>
                      <w:color w:val="auto"/>
                      <w:sz w:val="20"/>
                      <w:szCs w:val="20"/>
                      <w:highlight w:val="none"/>
                    </w:rPr>
                    <w:t>06</w:t>
                  </w:r>
                </w:p>
                <w:p w14:paraId="747D3973">
                  <w:pPr>
                    <w:spacing w:before="125" w:line="195" w:lineRule="auto"/>
                    <w:ind w:left="235" w:leftChars="0"/>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3"/>
                      <w:sz w:val="20"/>
                      <w:szCs w:val="20"/>
                      <w:highlight w:val="none"/>
                    </w:rPr>
                    <w:t>900-</w:t>
                  </w:r>
                  <w:r>
                    <w:rPr>
                      <w:rFonts w:hint="default" w:ascii="Times New Roman" w:hAnsi="Times New Roman" w:cs="Times New Roman"/>
                      <w:color w:val="auto"/>
                      <w:spacing w:val="3"/>
                      <w:sz w:val="20"/>
                      <w:szCs w:val="20"/>
                      <w:highlight w:val="none"/>
                    </w:rPr>
                    <w:t>404</w:t>
                  </w:r>
                  <w:r>
                    <w:rPr>
                      <w:rFonts w:hint="default" w:ascii="Times New Roman" w:hAnsi="Times New Roman" w:eastAsia="Times New Roman" w:cs="Times New Roman"/>
                      <w:color w:val="auto"/>
                      <w:spacing w:val="3"/>
                      <w:sz w:val="20"/>
                      <w:szCs w:val="20"/>
                      <w:highlight w:val="none"/>
                    </w:rPr>
                    <w:t>-</w:t>
                  </w:r>
                  <w:r>
                    <w:rPr>
                      <w:rFonts w:hint="default" w:ascii="Times New Roman" w:hAnsi="Times New Roman" w:cs="Times New Roman"/>
                      <w:color w:val="auto"/>
                      <w:spacing w:val="3"/>
                      <w:sz w:val="20"/>
                      <w:szCs w:val="20"/>
                      <w:highlight w:val="none"/>
                    </w:rPr>
                    <w:t>06</w:t>
                  </w:r>
                </w:p>
              </w:tc>
              <w:tc>
                <w:tcPr>
                  <w:tcW w:w="1156" w:type="dxa"/>
                  <w:vAlign w:val="center"/>
                </w:tcPr>
                <w:p w14:paraId="58D1B542">
                  <w:pPr>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1094" w:type="dxa"/>
                  <w:vAlign w:val="center"/>
                </w:tcPr>
                <w:p w14:paraId="05534F1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T/I/R</w:t>
                  </w:r>
                </w:p>
              </w:tc>
              <w:tc>
                <w:tcPr>
                  <w:tcW w:w="828" w:type="dxa"/>
                  <w:vAlign w:val="center"/>
                </w:tcPr>
                <w:p w14:paraId="41B77BC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液态</w:t>
                  </w:r>
                </w:p>
              </w:tc>
              <w:tc>
                <w:tcPr>
                  <w:tcW w:w="1152" w:type="dxa"/>
                  <w:vMerge w:val="continue"/>
                  <w:tcBorders>
                    <w:top w:val="nil"/>
                    <w:bottom w:val="nil"/>
                  </w:tcBorders>
                  <w:vAlign w:val="center"/>
                </w:tcPr>
                <w:p w14:paraId="4E6FFC06">
                  <w:pPr>
                    <w:jc w:val="center"/>
                    <w:rPr>
                      <w:rFonts w:hint="default" w:ascii="Times New Roman" w:hAnsi="Times New Roman" w:cs="Times New Roman"/>
                      <w:color w:val="auto"/>
                      <w:highlight w:val="none"/>
                    </w:rPr>
                  </w:pPr>
                </w:p>
              </w:tc>
            </w:tr>
            <w:tr w14:paraId="25A2CF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10" w:type="dxa"/>
                  <w:vAlign w:val="center"/>
                </w:tcPr>
                <w:p w14:paraId="0930DF7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771" w:type="dxa"/>
                  <w:vAlign w:val="center"/>
                </w:tcPr>
                <w:p w14:paraId="1F0599B3">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Cs w:val="21"/>
                      <w:highlight w:val="none"/>
                      <w:lang w:val="en-US" w:eastAsia="zh-CN"/>
                    </w:rPr>
                    <w:t>废润滑油</w:t>
                  </w:r>
                </w:p>
              </w:tc>
              <w:tc>
                <w:tcPr>
                  <w:tcW w:w="1502" w:type="dxa"/>
                  <w:vAlign w:val="top"/>
                </w:tcPr>
                <w:p w14:paraId="09F421B8">
                  <w:pPr>
                    <w:spacing w:before="95" w:line="195" w:lineRule="auto"/>
                    <w:ind w:left="43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宋体" w:cs="Times New Roman"/>
                      <w:color w:val="auto"/>
                      <w:spacing w:val="11"/>
                      <w:sz w:val="20"/>
                      <w:szCs w:val="20"/>
                      <w:highlight w:val="none"/>
                      <w:lang w:val="en-US" w:eastAsia="zh-CN"/>
                    </w:rPr>
                    <w:t>08</w:t>
                  </w:r>
                </w:p>
                <w:p w14:paraId="29C7DCF3">
                  <w:pPr>
                    <w:spacing w:before="125" w:line="195" w:lineRule="auto"/>
                    <w:ind w:left="235" w:leftChars="0"/>
                    <w:rPr>
                      <w:rFonts w:hint="default" w:ascii="Times New Roman" w:hAnsi="Times New Roman" w:eastAsia="宋体" w:cs="Times New Roman"/>
                      <w:color w:val="auto"/>
                      <w:highlight w:val="none"/>
                      <w:lang w:val="en-US" w:eastAsia="zh-CN"/>
                    </w:rPr>
                  </w:pPr>
                  <w:r>
                    <w:rPr>
                      <w:rFonts w:hint="default" w:ascii="Times New Roman" w:hAnsi="Times New Roman" w:eastAsia="Times New Roman" w:cs="Times New Roman"/>
                      <w:color w:val="auto"/>
                      <w:spacing w:val="3"/>
                      <w:sz w:val="20"/>
                      <w:szCs w:val="20"/>
                      <w:highlight w:val="none"/>
                    </w:rPr>
                    <w:t>900-</w:t>
                  </w:r>
                  <w:r>
                    <w:rPr>
                      <w:rFonts w:hint="default" w:ascii="Times New Roman" w:hAnsi="Times New Roman" w:eastAsia="宋体" w:cs="Times New Roman"/>
                      <w:color w:val="auto"/>
                      <w:spacing w:val="3"/>
                      <w:sz w:val="20"/>
                      <w:szCs w:val="20"/>
                      <w:highlight w:val="none"/>
                      <w:lang w:val="en-US" w:eastAsia="zh-CN"/>
                    </w:rPr>
                    <w:t>214</w:t>
                  </w:r>
                  <w:r>
                    <w:rPr>
                      <w:rFonts w:hint="default" w:ascii="Times New Roman" w:hAnsi="Times New Roman" w:eastAsia="Times New Roman" w:cs="Times New Roman"/>
                      <w:color w:val="auto"/>
                      <w:spacing w:val="3"/>
                      <w:sz w:val="20"/>
                      <w:szCs w:val="20"/>
                      <w:highlight w:val="none"/>
                    </w:rPr>
                    <w:t>-</w:t>
                  </w:r>
                  <w:r>
                    <w:rPr>
                      <w:rFonts w:hint="default" w:ascii="Times New Roman" w:hAnsi="Times New Roman" w:eastAsia="宋体" w:cs="Times New Roman"/>
                      <w:color w:val="auto"/>
                      <w:spacing w:val="3"/>
                      <w:sz w:val="20"/>
                      <w:szCs w:val="20"/>
                      <w:highlight w:val="none"/>
                      <w:lang w:val="en-US" w:eastAsia="zh-CN"/>
                    </w:rPr>
                    <w:t>08</w:t>
                  </w:r>
                </w:p>
              </w:tc>
              <w:tc>
                <w:tcPr>
                  <w:tcW w:w="1156" w:type="dxa"/>
                  <w:vAlign w:val="center"/>
                </w:tcPr>
                <w:p w14:paraId="6D679348">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094" w:type="dxa"/>
                  <w:vAlign w:val="center"/>
                </w:tcPr>
                <w:p w14:paraId="26576FF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w:t>
                  </w:r>
                </w:p>
              </w:tc>
              <w:tc>
                <w:tcPr>
                  <w:tcW w:w="828" w:type="dxa"/>
                  <w:vAlign w:val="center"/>
                </w:tcPr>
                <w:p w14:paraId="12B738E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液</w:t>
                  </w:r>
                  <w:r>
                    <w:rPr>
                      <w:rFonts w:hint="default" w:ascii="Times New Roman" w:hAnsi="Times New Roman" w:cs="Times New Roman"/>
                      <w:color w:val="auto"/>
                      <w:highlight w:val="none"/>
                    </w:rPr>
                    <w:t>态</w:t>
                  </w:r>
                </w:p>
              </w:tc>
              <w:tc>
                <w:tcPr>
                  <w:tcW w:w="1152" w:type="dxa"/>
                  <w:vMerge w:val="continue"/>
                  <w:tcBorders>
                    <w:top w:val="nil"/>
                    <w:bottom w:val="nil"/>
                  </w:tcBorders>
                  <w:vAlign w:val="center"/>
                </w:tcPr>
                <w:p w14:paraId="470EF52D">
                  <w:pPr>
                    <w:jc w:val="center"/>
                    <w:rPr>
                      <w:rFonts w:hint="default" w:ascii="Times New Roman" w:hAnsi="Times New Roman" w:cs="Times New Roman"/>
                      <w:color w:val="auto"/>
                      <w:highlight w:val="none"/>
                    </w:rPr>
                  </w:pPr>
                </w:p>
              </w:tc>
            </w:tr>
            <w:tr w14:paraId="09A1B27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610" w:type="dxa"/>
                  <w:vAlign w:val="center"/>
                </w:tcPr>
                <w:p w14:paraId="4D3E558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771" w:type="dxa"/>
                  <w:vAlign w:val="center"/>
                </w:tcPr>
                <w:p w14:paraId="6967CC2C">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化学品废包装材料</w:t>
                  </w:r>
                </w:p>
              </w:tc>
              <w:tc>
                <w:tcPr>
                  <w:tcW w:w="1502" w:type="dxa"/>
                  <w:vAlign w:val="top"/>
                </w:tcPr>
                <w:p w14:paraId="5B1C54B6">
                  <w:pPr>
                    <w:spacing w:before="89" w:line="195" w:lineRule="auto"/>
                    <w:ind w:left="439"/>
                    <w:rPr>
                      <w:rFonts w:hint="default" w:ascii="Times New Roman" w:hAnsi="Times New Roman" w:eastAsia="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Times New Roman" w:cs="Times New Roman"/>
                      <w:color w:val="auto"/>
                      <w:spacing w:val="11"/>
                      <w:sz w:val="20"/>
                      <w:szCs w:val="20"/>
                      <w:highlight w:val="none"/>
                    </w:rPr>
                    <w:t>49</w:t>
                  </w:r>
                </w:p>
                <w:p w14:paraId="5F727243">
                  <w:pPr>
                    <w:spacing w:before="125" w:line="195" w:lineRule="auto"/>
                    <w:ind w:left="235" w:leftChars="0"/>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3"/>
                      <w:sz w:val="20"/>
                      <w:szCs w:val="20"/>
                      <w:highlight w:val="none"/>
                    </w:rPr>
                    <w:t>900-04</w:t>
                  </w:r>
                  <w:r>
                    <w:rPr>
                      <w:rFonts w:hint="default" w:ascii="Times New Roman" w:hAnsi="Times New Roman" w:cs="Times New Roman"/>
                      <w:color w:val="auto"/>
                      <w:spacing w:val="3"/>
                      <w:sz w:val="20"/>
                      <w:szCs w:val="20"/>
                      <w:highlight w:val="none"/>
                    </w:rPr>
                    <w:t>1</w:t>
                  </w:r>
                  <w:r>
                    <w:rPr>
                      <w:rFonts w:hint="default" w:ascii="Times New Roman" w:hAnsi="Times New Roman" w:eastAsia="Times New Roman" w:cs="Times New Roman"/>
                      <w:color w:val="auto"/>
                      <w:spacing w:val="3"/>
                      <w:sz w:val="20"/>
                      <w:szCs w:val="20"/>
                      <w:highlight w:val="none"/>
                    </w:rPr>
                    <w:t>-49</w:t>
                  </w:r>
                </w:p>
              </w:tc>
              <w:tc>
                <w:tcPr>
                  <w:tcW w:w="1156" w:type="dxa"/>
                  <w:vAlign w:val="center"/>
                </w:tcPr>
                <w:p w14:paraId="13563885">
                  <w:pPr>
                    <w:jc w:val="center"/>
                    <w:rPr>
                      <w:rFonts w:hint="default" w:ascii="Times New Roman" w:hAnsi="Times New Roman" w:cs="Times New Roman"/>
                      <w:color w:val="auto"/>
                      <w:highlight w:val="none"/>
                      <w:lang w:val="en-US"/>
                    </w:rPr>
                  </w:pPr>
                  <w:r>
                    <w:rPr>
                      <w:rFonts w:hint="eastAsia" w:cs="Times New Roman"/>
                      <w:color w:val="auto"/>
                      <w:sz w:val="24"/>
                      <w:szCs w:val="24"/>
                      <w:highlight w:val="none"/>
                      <w:lang w:val="en-US" w:eastAsia="zh-CN"/>
                    </w:rPr>
                    <w:t>***</w:t>
                  </w:r>
                </w:p>
              </w:tc>
              <w:tc>
                <w:tcPr>
                  <w:tcW w:w="1094" w:type="dxa"/>
                  <w:vAlign w:val="center"/>
                </w:tcPr>
                <w:p w14:paraId="11EBA09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w:t>
                  </w:r>
                  <w:r>
                    <w:rPr>
                      <w:rFonts w:hint="default" w:ascii="Times New Roman" w:hAnsi="Times New Roman" w:cs="Times New Roman"/>
                      <w:color w:val="auto"/>
                      <w:highlight w:val="none"/>
                      <w:lang w:val="en-US" w:eastAsia="zh-CN"/>
                    </w:rPr>
                    <w:t>/In</w:t>
                  </w:r>
                </w:p>
              </w:tc>
              <w:tc>
                <w:tcPr>
                  <w:tcW w:w="828" w:type="dxa"/>
                  <w:vAlign w:val="center"/>
                </w:tcPr>
                <w:p w14:paraId="178DBD2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固态</w:t>
                  </w:r>
                </w:p>
              </w:tc>
              <w:tc>
                <w:tcPr>
                  <w:tcW w:w="1152" w:type="dxa"/>
                  <w:tcBorders>
                    <w:top w:val="nil"/>
                    <w:bottom w:val="nil"/>
                  </w:tcBorders>
                  <w:vAlign w:val="center"/>
                </w:tcPr>
                <w:p w14:paraId="4DCE89C1">
                  <w:pPr>
                    <w:jc w:val="center"/>
                    <w:rPr>
                      <w:rFonts w:hint="default" w:ascii="Times New Roman" w:hAnsi="Times New Roman" w:cs="Times New Roman"/>
                      <w:color w:val="auto"/>
                      <w:highlight w:val="none"/>
                    </w:rPr>
                  </w:pPr>
                </w:p>
              </w:tc>
            </w:tr>
            <w:tr w14:paraId="226F1F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610" w:type="dxa"/>
                  <w:vAlign w:val="center"/>
                </w:tcPr>
                <w:p w14:paraId="7C7B8965">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8</w:t>
                  </w:r>
                </w:p>
              </w:tc>
              <w:tc>
                <w:tcPr>
                  <w:tcW w:w="1771" w:type="dxa"/>
                  <w:vAlign w:val="center"/>
                </w:tcPr>
                <w:p w14:paraId="630F388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报废品</w:t>
                  </w:r>
                </w:p>
              </w:tc>
              <w:tc>
                <w:tcPr>
                  <w:tcW w:w="1502" w:type="dxa"/>
                  <w:vAlign w:val="top"/>
                </w:tcPr>
                <w:p w14:paraId="5E4460C8">
                  <w:pPr>
                    <w:spacing w:before="91" w:line="195" w:lineRule="auto"/>
                    <w:ind w:left="439"/>
                    <w:rPr>
                      <w:rFonts w:hint="default" w:ascii="Times New Roman" w:hAnsi="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cs="Times New Roman"/>
                      <w:color w:val="auto"/>
                      <w:sz w:val="20"/>
                      <w:szCs w:val="20"/>
                      <w:highlight w:val="none"/>
                    </w:rPr>
                    <w:t>06</w:t>
                  </w:r>
                </w:p>
                <w:p w14:paraId="14923769">
                  <w:pPr>
                    <w:spacing w:before="125" w:line="195" w:lineRule="auto"/>
                    <w:ind w:left="235" w:leftChars="0"/>
                    <w:rPr>
                      <w:rFonts w:hint="default" w:ascii="Times New Roman" w:hAnsi="Times New Roman" w:eastAsia="Times New Roman" w:cs="Times New Roman"/>
                      <w:color w:val="auto"/>
                      <w:spacing w:val="3"/>
                      <w:sz w:val="20"/>
                      <w:szCs w:val="20"/>
                      <w:highlight w:val="none"/>
                    </w:rPr>
                  </w:pPr>
                  <w:r>
                    <w:rPr>
                      <w:rFonts w:hint="default" w:ascii="Times New Roman" w:hAnsi="Times New Roman" w:eastAsia="Times New Roman" w:cs="Times New Roman"/>
                      <w:color w:val="auto"/>
                      <w:spacing w:val="3"/>
                      <w:sz w:val="20"/>
                      <w:szCs w:val="20"/>
                      <w:highlight w:val="none"/>
                    </w:rPr>
                    <w:t>900-</w:t>
                  </w:r>
                  <w:r>
                    <w:rPr>
                      <w:rFonts w:hint="default" w:ascii="Times New Roman" w:hAnsi="Times New Roman" w:cs="Times New Roman"/>
                      <w:color w:val="auto"/>
                      <w:spacing w:val="3"/>
                      <w:sz w:val="20"/>
                      <w:szCs w:val="20"/>
                      <w:highlight w:val="none"/>
                    </w:rPr>
                    <w:t>404</w:t>
                  </w:r>
                  <w:r>
                    <w:rPr>
                      <w:rFonts w:hint="default" w:ascii="Times New Roman" w:hAnsi="Times New Roman" w:eastAsia="Times New Roman" w:cs="Times New Roman"/>
                      <w:color w:val="auto"/>
                      <w:spacing w:val="3"/>
                      <w:sz w:val="20"/>
                      <w:szCs w:val="20"/>
                      <w:highlight w:val="none"/>
                    </w:rPr>
                    <w:t>-</w:t>
                  </w:r>
                  <w:r>
                    <w:rPr>
                      <w:rFonts w:hint="default" w:ascii="Times New Roman" w:hAnsi="Times New Roman" w:cs="Times New Roman"/>
                      <w:color w:val="auto"/>
                      <w:spacing w:val="3"/>
                      <w:sz w:val="20"/>
                      <w:szCs w:val="20"/>
                      <w:highlight w:val="none"/>
                    </w:rPr>
                    <w:t>06</w:t>
                  </w:r>
                </w:p>
              </w:tc>
              <w:tc>
                <w:tcPr>
                  <w:tcW w:w="1156" w:type="dxa"/>
                  <w:vAlign w:val="center"/>
                </w:tcPr>
                <w:p w14:paraId="3301E78E">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094" w:type="dxa"/>
                  <w:shd w:val="clear" w:color="auto" w:fill="auto"/>
                  <w:vAlign w:val="center"/>
                </w:tcPr>
                <w:p w14:paraId="13FD36EE">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T/I/R</w:t>
                  </w:r>
                </w:p>
              </w:tc>
              <w:tc>
                <w:tcPr>
                  <w:tcW w:w="828" w:type="dxa"/>
                  <w:shd w:val="clear" w:color="auto" w:fill="auto"/>
                  <w:vAlign w:val="center"/>
                </w:tcPr>
                <w:p w14:paraId="32F089C9">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固</w:t>
                  </w:r>
                  <w:r>
                    <w:rPr>
                      <w:rFonts w:hint="default" w:ascii="Times New Roman" w:hAnsi="Times New Roman" w:cs="Times New Roman"/>
                      <w:color w:val="auto"/>
                      <w:highlight w:val="none"/>
                    </w:rPr>
                    <w:t>态</w:t>
                  </w:r>
                </w:p>
              </w:tc>
              <w:tc>
                <w:tcPr>
                  <w:tcW w:w="1152" w:type="dxa"/>
                  <w:tcBorders>
                    <w:top w:val="nil"/>
                    <w:bottom w:val="nil"/>
                  </w:tcBorders>
                  <w:vAlign w:val="center"/>
                </w:tcPr>
                <w:p w14:paraId="38F3D0E2">
                  <w:pPr>
                    <w:jc w:val="center"/>
                    <w:rPr>
                      <w:rFonts w:hint="default" w:ascii="Times New Roman" w:hAnsi="Times New Roman" w:cs="Times New Roman"/>
                      <w:color w:val="auto"/>
                      <w:highlight w:val="none"/>
                    </w:rPr>
                  </w:pPr>
                </w:p>
              </w:tc>
            </w:tr>
            <w:tr w14:paraId="350F323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610" w:type="dxa"/>
                  <w:vAlign w:val="center"/>
                </w:tcPr>
                <w:p w14:paraId="6E406C80">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w:t>
                  </w:r>
                </w:p>
              </w:tc>
              <w:tc>
                <w:tcPr>
                  <w:tcW w:w="1771" w:type="dxa"/>
                  <w:vAlign w:val="center"/>
                </w:tcPr>
                <w:p w14:paraId="46AE1AFB">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激光划线粉尘</w:t>
                  </w:r>
                </w:p>
              </w:tc>
              <w:tc>
                <w:tcPr>
                  <w:tcW w:w="1502" w:type="dxa"/>
                  <w:vAlign w:val="top"/>
                </w:tcPr>
                <w:p w14:paraId="4A9EDA5D">
                  <w:pPr>
                    <w:spacing w:before="89" w:line="195" w:lineRule="auto"/>
                    <w:ind w:left="439"/>
                    <w:rPr>
                      <w:rFonts w:hint="default" w:ascii="Times New Roman" w:hAnsi="Times New Roman" w:eastAsia="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Times New Roman" w:cs="Times New Roman"/>
                      <w:color w:val="auto"/>
                      <w:spacing w:val="11"/>
                      <w:sz w:val="20"/>
                      <w:szCs w:val="20"/>
                      <w:highlight w:val="none"/>
                    </w:rPr>
                    <w:t>49</w:t>
                  </w:r>
                </w:p>
                <w:p w14:paraId="2E9BA79C">
                  <w:pPr>
                    <w:spacing w:before="125" w:line="195" w:lineRule="auto"/>
                    <w:ind w:left="235" w:leftChars="0"/>
                    <w:rPr>
                      <w:rFonts w:hint="default" w:ascii="Times New Roman" w:hAnsi="Times New Roman" w:eastAsia="Times New Roman" w:cs="Times New Roman"/>
                      <w:color w:val="auto"/>
                      <w:spacing w:val="3"/>
                      <w:sz w:val="20"/>
                      <w:szCs w:val="20"/>
                      <w:highlight w:val="none"/>
                    </w:rPr>
                  </w:pPr>
                  <w:r>
                    <w:rPr>
                      <w:rFonts w:hint="default" w:ascii="Times New Roman" w:hAnsi="Times New Roman" w:eastAsia="Times New Roman" w:cs="Times New Roman"/>
                      <w:color w:val="auto"/>
                      <w:spacing w:val="3"/>
                      <w:sz w:val="20"/>
                      <w:szCs w:val="20"/>
                      <w:highlight w:val="none"/>
                    </w:rPr>
                    <w:t>900-04</w:t>
                  </w:r>
                  <w:r>
                    <w:rPr>
                      <w:rFonts w:hint="default" w:ascii="Times New Roman" w:hAnsi="Times New Roman" w:cs="Times New Roman"/>
                      <w:color w:val="auto"/>
                      <w:spacing w:val="3"/>
                      <w:sz w:val="20"/>
                      <w:szCs w:val="20"/>
                      <w:highlight w:val="none"/>
                    </w:rPr>
                    <w:t>1</w:t>
                  </w:r>
                  <w:r>
                    <w:rPr>
                      <w:rFonts w:hint="default" w:ascii="Times New Roman" w:hAnsi="Times New Roman" w:eastAsia="Times New Roman" w:cs="Times New Roman"/>
                      <w:color w:val="auto"/>
                      <w:spacing w:val="3"/>
                      <w:sz w:val="20"/>
                      <w:szCs w:val="20"/>
                      <w:highlight w:val="none"/>
                    </w:rPr>
                    <w:t>-49</w:t>
                  </w:r>
                </w:p>
              </w:tc>
              <w:tc>
                <w:tcPr>
                  <w:tcW w:w="1156" w:type="dxa"/>
                  <w:vAlign w:val="center"/>
                </w:tcPr>
                <w:p w14:paraId="04E1575E">
                  <w:pPr>
                    <w:jc w:val="center"/>
                    <w:rPr>
                      <w:rFonts w:hint="default" w:ascii="Times New Roman" w:hAnsi="Times New Roman" w:cs="Times New Roman"/>
                      <w:color w:val="auto"/>
                      <w:highlight w:val="none"/>
                      <w:lang w:val="en-US" w:eastAsia="zh-CN"/>
                    </w:rPr>
                  </w:pPr>
                  <w:r>
                    <w:rPr>
                      <w:rFonts w:hint="eastAsia" w:cs="Times New Roman"/>
                      <w:color w:val="auto"/>
                      <w:sz w:val="24"/>
                      <w:szCs w:val="24"/>
                      <w:highlight w:val="none"/>
                      <w:lang w:val="en-US" w:eastAsia="zh-CN"/>
                    </w:rPr>
                    <w:t>***</w:t>
                  </w:r>
                </w:p>
              </w:tc>
              <w:tc>
                <w:tcPr>
                  <w:tcW w:w="1094" w:type="dxa"/>
                  <w:shd w:val="clear" w:color="auto" w:fill="auto"/>
                  <w:vAlign w:val="center"/>
                </w:tcPr>
                <w:p w14:paraId="71064F07">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T/In</w:t>
                  </w:r>
                </w:p>
              </w:tc>
              <w:tc>
                <w:tcPr>
                  <w:tcW w:w="828" w:type="dxa"/>
                  <w:shd w:val="clear" w:color="auto" w:fill="auto"/>
                  <w:vAlign w:val="center"/>
                </w:tcPr>
                <w:p w14:paraId="3A959E16">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固态</w:t>
                  </w:r>
                </w:p>
              </w:tc>
              <w:tc>
                <w:tcPr>
                  <w:tcW w:w="1152" w:type="dxa"/>
                  <w:tcBorders>
                    <w:top w:val="nil"/>
                  </w:tcBorders>
                  <w:vAlign w:val="center"/>
                </w:tcPr>
                <w:p w14:paraId="0136522B">
                  <w:pPr>
                    <w:jc w:val="center"/>
                    <w:rPr>
                      <w:rFonts w:hint="default" w:ascii="Times New Roman" w:hAnsi="Times New Roman" w:cs="Times New Roman"/>
                      <w:color w:val="auto"/>
                      <w:highlight w:val="none"/>
                    </w:rPr>
                  </w:pPr>
                </w:p>
              </w:tc>
            </w:tr>
          </w:tbl>
          <w:p w14:paraId="5D300EB5">
            <w:pPr>
              <w:adjustRightInd w:val="0"/>
              <w:snapToGrid w:val="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表4.1</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 xml:space="preserve">  项目固体废物处置情况</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417"/>
              <w:gridCol w:w="1260"/>
              <w:gridCol w:w="918"/>
              <w:gridCol w:w="1513"/>
              <w:gridCol w:w="1563"/>
              <w:gridCol w:w="1191"/>
              <w:gridCol w:w="1251"/>
            </w:tblGrid>
            <w:tr w14:paraId="7BC0CA8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421" w:type="dxa"/>
                  <w:vAlign w:val="center"/>
                </w:tcPr>
                <w:p w14:paraId="0DA44D95">
                  <w:pPr>
                    <w:jc w:val="center"/>
                    <w:rPr>
                      <w:rFonts w:hint="default" w:ascii="Times New Roman" w:hAnsi="Times New Roman" w:cs="Times New Roman"/>
                      <w:b/>
                      <w:bCs/>
                      <w:color w:val="auto"/>
                      <w:highlight w:val="none"/>
                    </w:rPr>
                  </w:pPr>
                </w:p>
                <w:p w14:paraId="3ADD64A3">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270" w:type="dxa"/>
                  <w:vAlign w:val="center"/>
                </w:tcPr>
                <w:p w14:paraId="4CF13781">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固体废物名称</w:t>
                  </w:r>
                </w:p>
              </w:tc>
              <w:tc>
                <w:tcPr>
                  <w:tcW w:w="925" w:type="dxa"/>
                  <w:vAlign w:val="center"/>
                </w:tcPr>
                <w:p w14:paraId="5F0E5360">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产生工序</w:t>
                  </w:r>
                </w:p>
              </w:tc>
              <w:tc>
                <w:tcPr>
                  <w:tcW w:w="1525" w:type="dxa"/>
                  <w:vAlign w:val="center"/>
                </w:tcPr>
                <w:p w14:paraId="590D1D6D">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属性（危险废物、一般工业固体废物或待鉴别）</w:t>
                  </w:r>
                </w:p>
              </w:tc>
              <w:tc>
                <w:tcPr>
                  <w:tcW w:w="1575" w:type="dxa"/>
                  <w:vAlign w:val="center"/>
                </w:tcPr>
                <w:p w14:paraId="35F5B37F">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废物代码</w:t>
                  </w:r>
                </w:p>
              </w:tc>
              <w:tc>
                <w:tcPr>
                  <w:tcW w:w="1200" w:type="dxa"/>
                  <w:vAlign w:val="center"/>
                </w:tcPr>
                <w:p w14:paraId="2021169E">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产生量</w:t>
                  </w:r>
                </w:p>
                <w:p w14:paraId="4699D78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（吨/年）</w:t>
                  </w:r>
                </w:p>
              </w:tc>
              <w:tc>
                <w:tcPr>
                  <w:tcW w:w="1261" w:type="dxa"/>
                  <w:vAlign w:val="center"/>
                </w:tcPr>
                <w:p w14:paraId="16D1FF8E">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处置方式</w:t>
                  </w:r>
                </w:p>
              </w:tc>
            </w:tr>
            <w:tr w14:paraId="0D867AD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421" w:type="dxa"/>
                  <w:vAlign w:val="center"/>
                </w:tcPr>
                <w:p w14:paraId="3BBAC727">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1</w:t>
                  </w:r>
                </w:p>
              </w:tc>
              <w:tc>
                <w:tcPr>
                  <w:tcW w:w="1270" w:type="dxa"/>
                  <w:vAlign w:val="center"/>
                </w:tcPr>
                <w:p w14:paraId="6A33BADE">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一般废包装材料</w:t>
                  </w:r>
                </w:p>
              </w:tc>
              <w:tc>
                <w:tcPr>
                  <w:tcW w:w="925" w:type="dxa"/>
                  <w:vAlign w:val="center"/>
                </w:tcPr>
                <w:p w14:paraId="42F610D1">
                  <w:pPr>
                    <w:jc w:val="center"/>
                    <w:rPr>
                      <w:rFonts w:hint="default" w:ascii="Times New Roman" w:hAnsi="Times New Roman" w:cs="Times New Roman"/>
                      <w:color w:val="auto"/>
                      <w:highlight w:val="none"/>
                      <w:lang w:val="zh-CN"/>
                    </w:rPr>
                  </w:pPr>
                  <w:r>
                    <w:rPr>
                      <w:rFonts w:hint="default" w:ascii="Times New Roman" w:hAnsi="Times New Roman" w:cs="Times New Roman"/>
                      <w:color w:val="auto"/>
                      <w:szCs w:val="21"/>
                      <w:highlight w:val="none"/>
                      <w:lang w:val="en-US" w:eastAsia="zh-CN"/>
                    </w:rPr>
                    <w:t>生产厂房一</w:t>
                  </w:r>
                  <w:r>
                    <w:rPr>
                      <w:rFonts w:hint="default" w:ascii="Times New Roman" w:hAnsi="Times New Roman" w:cs="Times New Roman"/>
                      <w:color w:val="auto"/>
                      <w:szCs w:val="21"/>
                      <w:highlight w:val="none"/>
                    </w:rPr>
                    <w:t>装配</w:t>
                  </w:r>
                </w:p>
              </w:tc>
              <w:tc>
                <w:tcPr>
                  <w:tcW w:w="1525" w:type="dxa"/>
                  <w:vMerge w:val="restart"/>
                  <w:vAlign w:val="center"/>
                </w:tcPr>
                <w:p w14:paraId="6CD8A9A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一般固废</w:t>
                  </w:r>
                </w:p>
              </w:tc>
              <w:tc>
                <w:tcPr>
                  <w:tcW w:w="1575" w:type="dxa"/>
                  <w:vAlign w:val="center"/>
                </w:tcPr>
                <w:p w14:paraId="664D0BA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SW17</w:t>
                  </w:r>
                </w:p>
                <w:p w14:paraId="087BA7D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900-005-S17</w:t>
                  </w:r>
                </w:p>
              </w:tc>
              <w:tc>
                <w:tcPr>
                  <w:tcW w:w="1200" w:type="dxa"/>
                  <w:vAlign w:val="center"/>
                </w:tcPr>
                <w:p w14:paraId="06C53054">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Align w:val="center"/>
                </w:tcPr>
                <w:p w14:paraId="6BDB252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外售</w:t>
                  </w:r>
                </w:p>
              </w:tc>
            </w:tr>
            <w:tr w14:paraId="3AA605F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421" w:type="dxa"/>
                  <w:vAlign w:val="center"/>
                </w:tcPr>
                <w:p w14:paraId="1AE60560">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2</w:t>
                  </w:r>
                </w:p>
              </w:tc>
              <w:tc>
                <w:tcPr>
                  <w:tcW w:w="1270" w:type="dxa"/>
                  <w:vAlign w:val="center"/>
                </w:tcPr>
                <w:p w14:paraId="785EDB73">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Cs w:val="21"/>
                      <w:highlight w:val="none"/>
                      <w:lang w:eastAsia="zh-CN"/>
                    </w:rPr>
                    <w:t>废滤芯</w:t>
                  </w:r>
                </w:p>
              </w:tc>
              <w:tc>
                <w:tcPr>
                  <w:tcW w:w="925" w:type="dxa"/>
                  <w:vAlign w:val="center"/>
                </w:tcPr>
                <w:p w14:paraId="51FB9732">
                  <w:pPr>
                    <w:jc w:val="center"/>
                    <w:rPr>
                      <w:rFonts w:hint="default" w:ascii="Times New Roman" w:hAnsi="Times New Roman" w:cs="Times New Roman"/>
                      <w:color w:val="auto"/>
                      <w:highlight w:val="none"/>
                      <w:lang w:val="zh-CN"/>
                    </w:rPr>
                  </w:pPr>
                  <w:r>
                    <w:rPr>
                      <w:rFonts w:hint="default" w:ascii="Times New Roman" w:hAnsi="Times New Roman" w:cs="Times New Roman"/>
                      <w:color w:val="auto"/>
                      <w:szCs w:val="21"/>
                      <w:highlight w:val="none"/>
                    </w:rPr>
                    <w:t>纯水机</w:t>
                  </w:r>
                </w:p>
              </w:tc>
              <w:tc>
                <w:tcPr>
                  <w:tcW w:w="1525" w:type="dxa"/>
                  <w:vMerge w:val="continue"/>
                  <w:vAlign w:val="center"/>
                </w:tcPr>
                <w:p w14:paraId="6C61DDBD">
                  <w:pPr>
                    <w:jc w:val="center"/>
                    <w:rPr>
                      <w:rFonts w:hint="default" w:ascii="Times New Roman" w:hAnsi="Times New Roman" w:cs="Times New Roman"/>
                      <w:color w:val="auto"/>
                      <w:highlight w:val="none"/>
                    </w:rPr>
                  </w:pPr>
                </w:p>
              </w:tc>
              <w:tc>
                <w:tcPr>
                  <w:tcW w:w="1575" w:type="dxa"/>
                  <w:vAlign w:val="center"/>
                </w:tcPr>
                <w:p w14:paraId="3A041F0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SW59</w:t>
                  </w:r>
                </w:p>
                <w:p w14:paraId="0F11610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900-008-S59</w:t>
                  </w:r>
                </w:p>
              </w:tc>
              <w:tc>
                <w:tcPr>
                  <w:tcW w:w="1200" w:type="dxa"/>
                  <w:vAlign w:val="center"/>
                </w:tcPr>
                <w:p w14:paraId="42741B2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Align w:val="center"/>
                </w:tcPr>
                <w:p w14:paraId="6E1EFA6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厂家回收</w:t>
                  </w:r>
                </w:p>
              </w:tc>
            </w:tr>
            <w:tr w14:paraId="2481FAB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421" w:type="dxa"/>
                  <w:vAlign w:val="center"/>
                </w:tcPr>
                <w:p w14:paraId="289B0287">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3</w:t>
                  </w:r>
                </w:p>
              </w:tc>
              <w:tc>
                <w:tcPr>
                  <w:tcW w:w="1270" w:type="dxa"/>
                  <w:vAlign w:val="center"/>
                </w:tcPr>
                <w:p w14:paraId="2B7111D0">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废靶材</w:t>
                  </w:r>
                </w:p>
              </w:tc>
              <w:tc>
                <w:tcPr>
                  <w:tcW w:w="925" w:type="dxa"/>
                  <w:vAlign w:val="center"/>
                </w:tcPr>
                <w:p w14:paraId="1436D7CD">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磁控溅射</w:t>
                  </w:r>
                </w:p>
                <w:p w14:paraId="5999EA46">
                  <w:pPr>
                    <w:jc w:val="center"/>
                    <w:rPr>
                      <w:rFonts w:hint="default" w:ascii="Times New Roman" w:hAnsi="Times New Roman" w:cs="Times New Roman"/>
                      <w:color w:val="auto"/>
                      <w:highlight w:val="none"/>
                      <w:lang w:val="zh-CN"/>
                    </w:rPr>
                  </w:pP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蒸镀</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电极层沉积</w:t>
                  </w:r>
                </w:p>
              </w:tc>
              <w:tc>
                <w:tcPr>
                  <w:tcW w:w="1525" w:type="dxa"/>
                  <w:vMerge w:val="continue"/>
                  <w:vAlign w:val="center"/>
                </w:tcPr>
                <w:p w14:paraId="7A66D1D4">
                  <w:pPr>
                    <w:jc w:val="center"/>
                    <w:rPr>
                      <w:rFonts w:hint="default" w:ascii="Times New Roman" w:hAnsi="Times New Roman" w:cs="Times New Roman"/>
                      <w:color w:val="auto"/>
                      <w:highlight w:val="none"/>
                    </w:rPr>
                  </w:pPr>
                </w:p>
              </w:tc>
              <w:tc>
                <w:tcPr>
                  <w:tcW w:w="1575" w:type="dxa"/>
                  <w:vAlign w:val="center"/>
                </w:tcPr>
                <w:p w14:paraId="47564F9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SW17</w:t>
                  </w:r>
                </w:p>
                <w:p w14:paraId="6C98E1D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900-015-S17</w:t>
                  </w:r>
                </w:p>
              </w:tc>
              <w:tc>
                <w:tcPr>
                  <w:tcW w:w="1200" w:type="dxa"/>
                  <w:vAlign w:val="center"/>
                </w:tcPr>
                <w:p w14:paraId="743F562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Align w:val="center"/>
                </w:tcPr>
                <w:p w14:paraId="101B4C4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厂家回收</w:t>
                  </w:r>
                </w:p>
              </w:tc>
            </w:tr>
            <w:tr w14:paraId="19458F5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421" w:type="dxa"/>
                  <w:vAlign w:val="center"/>
                </w:tcPr>
                <w:p w14:paraId="7DDC9BE3">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4</w:t>
                  </w:r>
                </w:p>
              </w:tc>
              <w:tc>
                <w:tcPr>
                  <w:tcW w:w="1270" w:type="dxa"/>
                  <w:shd w:val="clear" w:color="auto" w:fill="auto"/>
                  <w:vAlign w:val="center"/>
                </w:tcPr>
                <w:p w14:paraId="5C69B955">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废反渗透膜</w:t>
                  </w:r>
                </w:p>
              </w:tc>
              <w:tc>
                <w:tcPr>
                  <w:tcW w:w="925" w:type="dxa"/>
                  <w:shd w:val="clear" w:color="auto" w:fill="auto"/>
                  <w:vAlign w:val="center"/>
                </w:tcPr>
                <w:p w14:paraId="1E13824F">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纯水机</w:t>
                  </w:r>
                </w:p>
              </w:tc>
              <w:tc>
                <w:tcPr>
                  <w:tcW w:w="1525" w:type="dxa"/>
                  <w:vMerge w:val="continue"/>
                  <w:shd w:val="clear" w:color="auto" w:fill="auto"/>
                  <w:vAlign w:val="center"/>
                </w:tcPr>
                <w:p w14:paraId="3257E53A">
                  <w:pPr>
                    <w:jc w:val="center"/>
                    <w:rPr>
                      <w:rFonts w:hint="default" w:ascii="Times New Roman" w:hAnsi="Times New Roman" w:eastAsia="宋体" w:cs="Times New Roman"/>
                      <w:color w:val="auto"/>
                      <w:kern w:val="2"/>
                      <w:sz w:val="21"/>
                      <w:szCs w:val="24"/>
                      <w:highlight w:val="none"/>
                      <w:lang w:val="en-US" w:eastAsia="zh-CN" w:bidi="ar-SA"/>
                    </w:rPr>
                  </w:pPr>
                </w:p>
              </w:tc>
              <w:tc>
                <w:tcPr>
                  <w:tcW w:w="1575" w:type="dxa"/>
                  <w:shd w:val="clear" w:color="auto" w:fill="auto"/>
                  <w:vAlign w:val="center"/>
                </w:tcPr>
                <w:p w14:paraId="04E1147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6FDBAB00">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900-047-49</w:t>
                  </w:r>
                </w:p>
              </w:tc>
              <w:tc>
                <w:tcPr>
                  <w:tcW w:w="1200" w:type="dxa"/>
                  <w:shd w:val="clear" w:color="auto" w:fill="auto"/>
                  <w:vAlign w:val="center"/>
                </w:tcPr>
                <w:p w14:paraId="56C12D9E">
                  <w:pPr>
                    <w:jc w:val="center"/>
                    <w:rPr>
                      <w:rFonts w:hint="default" w:ascii="Times New Roman" w:hAnsi="Times New Roman" w:eastAsia="宋体" w:cs="Times New Roman"/>
                      <w:color w:val="auto"/>
                      <w:kern w:val="2"/>
                      <w:sz w:val="21"/>
                      <w:szCs w:val="24"/>
                      <w:highlight w:val="none"/>
                      <w:lang w:val="zh-CN" w:eastAsia="zh-CN" w:bidi="zh-CN"/>
                    </w:rPr>
                  </w:pPr>
                  <w:r>
                    <w:rPr>
                      <w:rFonts w:hint="eastAsia" w:cs="Times New Roman"/>
                      <w:color w:val="auto"/>
                      <w:sz w:val="24"/>
                      <w:szCs w:val="24"/>
                      <w:highlight w:val="none"/>
                      <w:lang w:val="en-US" w:eastAsia="zh-CN"/>
                    </w:rPr>
                    <w:t>***</w:t>
                  </w:r>
                </w:p>
              </w:tc>
              <w:tc>
                <w:tcPr>
                  <w:tcW w:w="1261" w:type="dxa"/>
                  <w:shd w:val="clear" w:color="auto" w:fill="auto"/>
                  <w:vAlign w:val="center"/>
                </w:tcPr>
                <w:p w14:paraId="22A89381">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厂家回收</w:t>
                  </w:r>
                </w:p>
              </w:tc>
            </w:tr>
            <w:tr w14:paraId="613D1EB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421" w:type="dxa"/>
                  <w:vAlign w:val="center"/>
                </w:tcPr>
                <w:p w14:paraId="3686AFE8">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5</w:t>
                  </w:r>
                </w:p>
              </w:tc>
              <w:tc>
                <w:tcPr>
                  <w:tcW w:w="1270" w:type="dxa"/>
                  <w:shd w:val="clear" w:color="auto" w:fill="auto"/>
                  <w:vAlign w:val="center"/>
                </w:tcPr>
                <w:p w14:paraId="45E663FF">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Cs w:val="21"/>
                      <w:highlight w:val="none"/>
                      <w:lang w:eastAsia="zh-CN"/>
                    </w:rPr>
                    <w:t>激光划线粉尘</w:t>
                  </w:r>
                </w:p>
              </w:tc>
              <w:tc>
                <w:tcPr>
                  <w:tcW w:w="925" w:type="dxa"/>
                  <w:shd w:val="clear" w:color="auto" w:fill="auto"/>
                  <w:vAlign w:val="center"/>
                </w:tcPr>
                <w:p w14:paraId="01045A8A">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Cs w:val="21"/>
                      <w:highlight w:val="none"/>
                    </w:rPr>
                    <w:t>激光划线自带</w:t>
                  </w:r>
                  <w:r>
                    <w:rPr>
                      <w:rFonts w:hint="default" w:ascii="Times New Roman" w:hAnsi="Times New Roman" w:cs="Times New Roman"/>
                      <w:color w:val="auto"/>
                      <w:szCs w:val="21"/>
                      <w:highlight w:val="none"/>
                      <w:lang w:val="en-US" w:eastAsia="zh-CN"/>
                    </w:rPr>
                    <w:t>过滤</w:t>
                  </w:r>
                  <w:r>
                    <w:rPr>
                      <w:rFonts w:hint="default" w:ascii="Times New Roman" w:hAnsi="Times New Roman" w:cs="Times New Roman"/>
                      <w:color w:val="auto"/>
                      <w:szCs w:val="21"/>
                      <w:highlight w:val="none"/>
                    </w:rPr>
                    <w:t>除尘装置</w:t>
                  </w:r>
                </w:p>
              </w:tc>
              <w:tc>
                <w:tcPr>
                  <w:tcW w:w="1525" w:type="dxa"/>
                  <w:vMerge w:val="continue"/>
                  <w:shd w:val="clear" w:color="auto" w:fill="auto"/>
                  <w:vAlign w:val="center"/>
                </w:tcPr>
                <w:p w14:paraId="06E842C4">
                  <w:pPr>
                    <w:jc w:val="center"/>
                    <w:rPr>
                      <w:rFonts w:hint="default" w:ascii="Times New Roman" w:hAnsi="Times New Roman" w:eastAsia="宋体" w:cs="Times New Roman"/>
                      <w:color w:val="auto"/>
                      <w:kern w:val="2"/>
                      <w:sz w:val="21"/>
                      <w:szCs w:val="24"/>
                      <w:highlight w:val="none"/>
                      <w:lang w:val="en-US" w:eastAsia="zh-CN" w:bidi="ar-SA"/>
                    </w:rPr>
                  </w:pPr>
                </w:p>
              </w:tc>
              <w:tc>
                <w:tcPr>
                  <w:tcW w:w="1575" w:type="dxa"/>
                  <w:shd w:val="clear" w:color="auto" w:fill="auto"/>
                  <w:vAlign w:val="center"/>
                </w:tcPr>
                <w:p w14:paraId="6DD7A35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171E226B">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900-0</w:t>
                  </w: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-49</w:t>
                  </w:r>
                </w:p>
              </w:tc>
              <w:tc>
                <w:tcPr>
                  <w:tcW w:w="1200" w:type="dxa"/>
                  <w:shd w:val="clear" w:color="auto" w:fill="auto"/>
                  <w:vAlign w:val="center"/>
                </w:tcPr>
                <w:p w14:paraId="00B63E51">
                  <w:pPr>
                    <w:jc w:val="center"/>
                    <w:rPr>
                      <w:rFonts w:hint="default" w:ascii="Times New Roman" w:hAnsi="Times New Roman" w:eastAsia="宋体" w:cs="Times New Roman"/>
                      <w:color w:val="auto"/>
                      <w:kern w:val="2"/>
                      <w:sz w:val="21"/>
                      <w:szCs w:val="24"/>
                      <w:highlight w:val="none"/>
                      <w:lang w:val="en-US" w:eastAsia="zh-CN" w:bidi="zh-CN"/>
                    </w:rPr>
                  </w:pPr>
                  <w:r>
                    <w:rPr>
                      <w:rFonts w:hint="eastAsia" w:cs="Times New Roman"/>
                      <w:color w:val="auto"/>
                      <w:sz w:val="24"/>
                      <w:szCs w:val="24"/>
                      <w:highlight w:val="none"/>
                      <w:lang w:val="en-US" w:eastAsia="zh-CN"/>
                    </w:rPr>
                    <w:t>***</w:t>
                  </w:r>
                </w:p>
              </w:tc>
              <w:tc>
                <w:tcPr>
                  <w:tcW w:w="1261" w:type="dxa"/>
                  <w:vMerge w:val="restart"/>
                  <w:vAlign w:val="center"/>
                </w:tcPr>
                <w:p w14:paraId="3747B37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委托有资质单位处置</w:t>
                  </w:r>
                </w:p>
              </w:tc>
            </w:tr>
            <w:tr w14:paraId="5BFC982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421" w:type="dxa"/>
                  <w:vAlign w:val="center"/>
                </w:tcPr>
                <w:p w14:paraId="51D33F5D">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6</w:t>
                  </w:r>
                </w:p>
              </w:tc>
              <w:tc>
                <w:tcPr>
                  <w:tcW w:w="1270" w:type="dxa"/>
                  <w:vAlign w:val="center"/>
                </w:tcPr>
                <w:p w14:paraId="00D360AB">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Cs w:val="21"/>
                      <w:highlight w:val="none"/>
                      <w:lang w:val="en-US" w:eastAsia="zh-CN"/>
                    </w:rPr>
                    <w:t>报废品</w:t>
                  </w:r>
                </w:p>
              </w:tc>
              <w:tc>
                <w:tcPr>
                  <w:tcW w:w="925" w:type="dxa"/>
                  <w:vAlign w:val="center"/>
                </w:tcPr>
                <w:p w14:paraId="04E8C5F6">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实验室</w:t>
                  </w:r>
                </w:p>
              </w:tc>
              <w:tc>
                <w:tcPr>
                  <w:tcW w:w="1525" w:type="dxa"/>
                  <w:vMerge w:val="restart"/>
                  <w:vAlign w:val="center"/>
                </w:tcPr>
                <w:p w14:paraId="58DE940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属于《国家危险废物名录》的危废废物</w:t>
                  </w:r>
                </w:p>
              </w:tc>
              <w:tc>
                <w:tcPr>
                  <w:tcW w:w="1575" w:type="dxa"/>
                  <w:vAlign w:val="center"/>
                </w:tcPr>
                <w:p w14:paraId="7A07753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HW06</w:t>
                  </w:r>
                </w:p>
                <w:p w14:paraId="334327C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900-402-06</w:t>
                  </w:r>
                </w:p>
              </w:tc>
              <w:tc>
                <w:tcPr>
                  <w:tcW w:w="1200" w:type="dxa"/>
                  <w:vAlign w:val="center"/>
                </w:tcPr>
                <w:p w14:paraId="6B1B362A">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26995EC8">
                  <w:pPr>
                    <w:jc w:val="center"/>
                    <w:rPr>
                      <w:rFonts w:hint="default" w:ascii="Times New Roman" w:hAnsi="Times New Roman" w:cs="Times New Roman"/>
                      <w:color w:val="auto"/>
                      <w:highlight w:val="none"/>
                    </w:rPr>
                  </w:pPr>
                </w:p>
              </w:tc>
            </w:tr>
            <w:tr w14:paraId="6939748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421" w:type="dxa"/>
                  <w:vAlign w:val="center"/>
                </w:tcPr>
                <w:p w14:paraId="096C2670">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7</w:t>
                  </w:r>
                </w:p>
              </w:tc>
              <w:tc>
                <w:tcPr>
                  <w:tcW w:w="1270" w:type="dxa"/>
                  <w:vAlign w:val="center"/>
                </w:tcPr>
                <w:p w14:paraId="0AE07AED">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废气处理设施废活性炭</w:t>
                  </w:r>
                </w:p>
              </w:tc>
              <w:tc>
                <w:tcPr>
                  <w:tcW w:w="925" w:type="dxa"/>
                  <w:vAlign w:val="center"/>
                </w:tcPr>
                <w:p w14:paraId="59FCFEC6">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废气处理设施</w:t>
                  </w:r>
                </w:p>
              </w:tc>
              <w:tc>
                <w:tcPr>
                  <w:tcW w:w="1525" w:type="dxa"/>
                  <w:vMerge w:val="continue"/>
                  <w:vAlign w:val="center"/>
                </w:tcPr>
                <w:p w14:paraId="139A3526">
                  <w:pPr>
                    <w:jc w:val="center"/>
                    <w:rPr>
                      <w:rFonts w:hint="default" w:ascii="Times New Roman" w:hAnsi="Times New Roman" w:cs="Times New Roman"/>
                      <w:color w:val="auto"/>
                      <w:highlight w:val="none"/>
                    </w:rPr>
                  </w:pPr>
                </w:p>
              </w:tc>
              <w:tc>
                <w:tcPr>
                  <w:tcW w:w="1575" w:type="dxa"/>
                  <w:vAlign w:val="center"/>
                </w:tcPr>
                <w:p w14:paraId="77A03F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335710B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900-041-49</w:t>
                  </w:r>
                </w:p>
              </w:tc>
              <w:tc>
                <w:tcPr>
                  <w:tcW w:w="1200" w:type="dxa"/>
                  <w:vAlign w:val="center"/>
                </w:tcPr>
                <w:p w14:paraId="2B0AC8A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7EDF2DA6">
                  <w:pPr>
                    <w:jc w:val="center"/>
                    <w:rPr>
                      <w:rFonts w:hint="default" w:ascii="Times New Roman" w:hAnsi="Times New Roman" w:cs="Times New Roman"/>
                      <w:color w:val="auto"/>
                      <w:highlight w:val="none"/>
                    </w:rPr>
                  </w:pPr>
                </w:p>
              </w:tc>
            </w:tr>
            <w:tr w14:paraId="4DFEF4F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21" w:type="dxa"/>
                  <w:vAlign w:val="center"/>
                </w:tcPr>
                <w:p w14:paraId="54AE82CE">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8</w:t>
                  </w:r>
                </w:p>
              </w:tc>
              <w:tc>
                <w:tcPr>
                  <w:tcW w:w="1270" w:type="dxa"/>
                  <w:vAlign w:val="center"/>
                </w:tcPr>
                <w:p w14:paraId="1B65951E">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Cs w:val="21"/>
                      <w:highlight w:val="none"/>
                    </w:rPr>
                    <w:t>清洗废液</w:t>
                  </w:r>
                </w:p>
              </w:tc>
              <w:tc>
                <w:tcPr>
                  <w:tcW w:w="925" w:type="dxa"/>
                  <w:vAlign w:val="center"/>
                </w:tcPr>
                <w:p w14:paraId="7119137C">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清洗</w:t>
                  </w:r>
                </w:p>
              </w:tc>
              <w:tc>
                <w:tcPr>
                  <w:tcW w:w="1525" w:type="dxa"/>
                  <w:vMerge w:val="continue"/>
                  <w:vAlign w:val="center"/>
                </w:tcPr>
                <w:p w14:paraId="4450AEC7">
                  <w:pPr>
                    <w:jc w:val="center"/>
                    <w:rPr>
                      <w:rFonts w:hint="default" w:ascii="Times New Roman" w:hAnsi="Times New Roman" w:cs="Times New Roman"/>
                      <w:color w:val="auto"/>
                      <w:highlight w:val="none"/>
                    </w:rPr>
                  </w:pPr>
                </w:p>
              </w:tc>
              <w:tc>
                <w:tcPr>
                  <w:tcW w:w="1575" w:type="dxa"/>
                  <w:vAlign w:val="center"/>
                </w:tcPr>
                <w:p w14:paraId="32759A0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HW06</w:t>
                  </w:r>
                </w:p>
                <w:p w14:paraId="3DF56CC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900-404-06</w:t>
                  </w:r>
                </w:p>
              </w:tc>
              <w:tc>
                <w:tcPr>
                  <w:tcW w:w="1200" w:type="dxa"/>
                  <w:vAlign w:val="center"/>
                </w:tcPr>
                <w:p w14:paraId="598C730F">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240A4739">
                  <w:pPr>
                    <w:jc w:val="center"/>
                    <w:rPr>
                      <w:rFonts w:hint="default" w:ascii="Times New Roman" w:hAnsi="Times New Roman" w:cs="Times New Roman"/>
                      <w:color w:val="auto"/>
                      <w:highlight w:val="none"/>
                    </w:rPr>
                  </w:pPr>
                </w:p>
              </w:tc>
            </w:tr>
            <w:tr w14:paraId="224BCDD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1043" w:hRule="atLeast"/>
                <w:jc w:val="center"/>
              </w:trPr>
              <w:tc>
                <w:tcPr>
                  <w:tcW w:w="421" w:type="dxa"/>
                  <w:vAlign w:val="center"/>
                </w:tcPr>
                <w:p w14:paraId="1E6F339B">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9</w:t>
                  </w:r>
                </w:p>
              </w:tc>
              <w:tc>
                <w:tcPr>
                  <w:tcW w:w="1270" w:type="dxa"/>
                  <w:vAlign w:val="center"/>
                </w:tcPr>
                <w:p w14:paraId="60CA46A5">
                  <w:pPr>
                    <w:jc w:val="center"/>
                    <w:rPr>
                      <w:rFonts w:hint="eastAsia" w:ascii="Times New Roman" w:hAnsi="Times New Roman" w:eastAsia="宋体" w:cs="Times New Roman"/>
                      <w:color w:val="auto"/>
                      <w:highlight w:val="none"/>
                      <w:lang w:eastAsia="zh-CN"/>
                    </w:rPr>
                  </w:pPr>
                  <w:r>
                    <w:rPr>
                      <w:rFonts w:hint="eastAsia" w:cs="Times New Roman"/>
                      <w:color w:val="auto"/>
                      <w:szCs w:val="21"/>
                      <w:highlight w:val="none"/>
                      <w:lang w:eastAsia="zh-CN"/>
                    </w:rPr>
                    <w:t>废擦拭乙醇</w:t>
                  </w:r>
                </w:p>
              </w:tc>
              <w:tc>
                <w:tcPr>
                  <w:tcW w:w="925" w:type="dxa"/>
                  <w:vAlign w:val="center"/>
                </w:tcPr>
                <w:p w14:paraId="36B19D86">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擦拭</w:t>
                  </w:r>
                </w:p>
              </w:tc>
              <w:tc>
                <w:tcPr>
                  <w:tcW w:w="1525" w:type="dxa"/>
                  <w:vMerge w:val="continue"/>
                  <w:vAlign w:val="center"/>
                </w:tcPr>
                <w:p w14:paraId="7761F764">
                  <w:pPr>
                    <w:jc w:val="center"/>
                    <w:rPr>
                      <w:rFonts w:hint="default" w:ascii="Times New Roman" w:hAnsi="Times New Roman" w:cs="Times New Roman"/>
                      <w:color w:val="auto"/>
                      <w:highlight w:val="none"/>
                    </w:rPr>
                  </w:pPr>
                </w:p>
              </w:tc>
              <w:tc>
                <w:tcPr>
                  <w:tcW w:w="1575" w:type="dxa"/>
                  <w:vAlign w:val="center"/>
                </w:tcPr>
                <w:p w14:paraId="13C083A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30BCD54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900-041-49</w:t>
                  </w:r>
                </w:p>
              </w:tc>
              <w:tc>
                <w:tcPr>
                  <w:tcW w:w="1200" w:type="dxa"/>
                  <w:vAlign w:val="center"/>
                </w:tcPr>
                <w:p w14:paraId="5CBF47CD">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6F6A91F3">
                  <w:pPr>
                    <w:jc w:val="center"/>
                    <w:rPr>
                      <w:rFonts w:hint="default" w:ascii="Times New Roman" w:hAnsi="Times New Roman" w:cs="Times New Roman"/>
                      <w:color w:val="auto"/>
                      <w:highlight w:val="none"/>
                    </w:rPr>
                  </w:pPr>
                </w:p>
              </w:tc>
            </w:tr>
            <w:tr w14:paraId="34D219D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421" w:type="dxa"/>
                  <w:vAlign w:val="center"/>
                </w:tcPr>
                <w:p w14:paraId="6D5DCF47">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10</w:t>
                  </w:r>
                </w:p>
              </w:tc>
              <w:tc>
                <w:tcPr>
                  <w:tcW w:w="1270" w:type="dxa"/>
                  <w:vAlign w:val="center"/>
                </w:tcPr>
                <w:p w14:paraId="421C21EC">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实验配液间废一次性器具及防护用品</w:t>
                  </w:r>
                </w:p>
              </w:tc>
              <w:tc>
                <w:tcPr>
                  <w:tcW w:w="925" w:type="dxa"/>
                  <w:vAlign w:val="center"/>
                </w:tcPr>
                <w:p w14:paraId="4A5A5B66">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实验室</w:t>
                  </w:r>
                </w:p>
              </w:tc>
              <w:tc>
                <w:tcPr>
                  <w:tcW w:w="1525" w:type="dxa"/>
                  <w:vMerge w:val="continue"/>
                  <w:vAlign w:val="center"/>
                </w:tcPr>
                <w:p w14:paraId="15DE48A5">
                  <w:pPr>
                    <w:jc w:val="center"/>
                    <w:rPr>
                      <w:rFonts w:hint="default" w:ascii="Times New Roman" w:hAnsi="Times New Roman" w:cs="Times New Roman"/>
                      <w:color w:val="auto"/>
                      <w:highlight w:val="none"/>
                    </w:rPr>
                  </w:pPr>
                </w:p>
              </w:tc>
              <w:tc>
                <w:tcPr>
                  <w:tcW w:w="1575" w:type="dxa"/>
                  <w:vAlign w:val="center"/>
                </w:tcPr>
                <w:p w14:paraId="0328562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70E1AF7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900-041-49</w:t>
                  </w:r>
                </w:p>
              </w:tc>
              <w:tc>
                <w:tcPr>
                  <w:tcW w:w="1200" w:type="dxa"/>
                  <w:vAlign w:val="center"/>
                </w:tcPr>
                <w:p w14:paraId="5E52A800">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48041758">
                  <w:pPr>
                    <w:jc w:val="center"/>
                    <w:rPr>
                      <w:rFonts w:hint="default" w:ascii="Times New Roman" w:hAnsi="Times New Roman" w:cs="Times New Roman"/>
                      <w:color w:val="auto"/>
                      <w:highlight w:val="none"/>
                    </w:rPr>
                  </w:pPr>
                </w:p>
              </w:tc>
            </w:tr>
            <w:tr w14:paraId="6CEA0E5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421" w:type="dxa"/>
                  <w:vAlign w:val="center"/>
                </w:tcPr>
                <w:p w14:paraId="3F9A8237">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11</w:t>
                  </w:r>
                </w:p>
              </w:tc>
              <w:tc>
                <w:tcPr>
                  <w:tcW w:w="1270" w:type="dxa"/>
                  <w:vAlign w:val="center"/>
                </w:tcPr>
                <w:p w14:paraId="5015CD81">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Cs w:val="21"/>
                      <w:highlight w:val="none"/>
                    </w:rPr>
                    <w:t>废涂布溶液</w:t>
                  </w:r>
                </w:p>
              </w:tc>
              <w:tc>
                <w:tcPr>
                  <w:tcW w:w="925" w:type="dxa"/>
                  <w:vAlign w:val="center"/>
                </w:tcPr>
                <w:p w14:paraId="4F685173">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实验室</w:t>
                  </w:r>
                </w:p>
              </w:tc>
              <w:tc>
                <w:tcPr>
                  <w:tcW w:w="1525" w:type="dxa"/>
                  <w:vMerge w:val="continue"/>
                  <w:vAlign w:val="center"/>
                </w:tcPr>
                <w:p w14:paraId="4A3446F8">
                  <w:pPr>
                    <w:jc w:val="center"/>
                    <w:rPr>
                      <w:rFonts w:hint="default" w:ascii="Times New Roman" w:hAnsi="Times New Roman" w:cs="Times New Roman"/>
                      <w:color w:val="auto"/>
                      <w:highlight w:val="none"/>
                    </w:rPr>
                  </w:pPr>
                </w:p>
              </w:tc>
              <w:tc>
                <w:tcPr>
                  <w:tcW w:w="1575" w:type="dxa"/>
                  <w:vAlign w:val="center"/>
                </w:tcPr>
                <w:p w14:paraId="120BE6E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0AEB107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900-041-49</w:t>
                  </w:r>
                </w:p>
              </w:tc>
              <w:tc>
                <w:tcPr>
                  <w:tcW w:w="1200" w:type="dxa"/>
                  <w:vAlign w:val="center"/>
                </w:tcPr>
                <w:p w14:paraId="79776CA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3D786013">
                  <w:pPr>
                    <w:jc w:val="center"/>
                    <w:rPr>
                      <w:rFonts w:hint="default" w:ascii="Times New Roman" w:hAnsi="Times New Roman" w:cs="Times New Roman"/>
                      <w:color w:val="auto"/>
                      <w:highlight w:val="none"/>
                    </w:rPr>
                  </w:pPr>
                </w:p>
              </w:tc>
            </w:tr>
            <w:tr w14:paraId="1DE4C3F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421" w:type="dxa"/>
                  <w:vAlign w:val="center"/>
                </w:tcPr>
                <w:p w14:paraId="6B2DDC0B">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12</w:t>
                  </w:r>
                </w:p>
              </w:tc>
              <w:tc>
                <w:tcPr>
                  <w:tcW w:w="1270" w:type="dxa"/>
                  <w:vAlign w:val="center"/>
                </w:tcPr>
                <w:p w14:paraId="53D0661A">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化学品废包装材料</w:t>
                  </w:r>
                </w:p>
              </w:tc>
              <w:tc>
                <w:tcPr>
                  <w:tcW w:w="925" w:type="dxa"/>
                  <w:vAlign w:val="center"/>
                </w:tcPr>
                <w:p w14:paraId="576FBE32">
                  <w:pPr>
                    <w:jc w:val="center"/>
                    <w:rPr>
                      <w:rFonts w:hint="default" w:ascii="Times New Roman" w:hAnsi="Times New Roman" w:cs="Times New Roman"/>
                      <w:color w:val="auto"/>
                      <w:highlight w:val="none"/>
                      <w:lang w:val="zh-CN"/>
                    </w:rPr>
                  </w:pPr>
                  <w:r>
                    <w:rPr>
                      <w:rFonts w:hint="default" w:ascii="Times New Roman" w:hAnsi="Times New Roman" w:cs="Times New Roman"/>
                      <w:color w:val="auto"/>
                      <w:szCs w:val="21"/>
                      <w:highlight w:val="none"/>
                    </w:rPr>
                    <w:t>化学品包装</w:t>
                  </w:r>
                </w:p>
              </w:tc>
              <w:tc>
                <w:tcPr>
                  <w:tcW w:w="1525" w:type="dxa"/>
                  <w:vMerge w:val="continue"/>
                  <w:vAlign w:val="center"/>
                </w:tcPr>
                <w:p w14:paraId="0F9C01BB">
                  <w:pPr>
                    <w:jc w:val="center"/>
                    <w:rPr>
                      <w:rFonts w:hint="default" w:ascii="Times New Roman" w:hAnsi="Times New Roman" w:cs="Times New Roman"/>
                      <w:color w:val="auto"/>
                      <w:highlight w:val="none"/>
                    </w:rPr>
                  </w:pPr>
                </w:p>
              </w:tc>
              <w:tc>
                <w:tcPr>
                  <w:tcW w:w="1575" w:type="dxa"/>
                  <w:vAlign w:val="center"/>
                </w:tcPr>
                <w:p w14:paraId="7DE7AAEC">
                  <w:pPr>
                    <w:spacing w:before="89" w:line="195" w:lineRule="auto"/>
                    <w:ind w:left="439"/>
                    <w:rPr>
                      <w:rFonts w:hint="default" w:ascii="Times New Roman" w:hAnsi="Times New Roman" w:eastAsia="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Times New Roman" w:cs="Times New Roman"/>
                      <w:color w:val="auto"/>
                      <w:spacing w:val="11"/>
                      <w:sz w:val="20"/>
                      <w:szCs w:val="20"/>
                      <w:highlight w:val="none"/>
                    </w:rPr>
                    <w:t>49</w:t>
                  </w:r>
                </w:p>
                <w:p w14:paraId="0696B086">
                  <w:pPr>
                    <w:jc w:val="center"/>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3"/>
                      <w:sz w:val="20"/>
                      <w:szCs w:val="20"/>
                      <w:highlight w:val="none"/>
                    </w:rPr>
                    <w:t>900-04</w:t>
                  </w:r>
                  <w:r>
                    <w:rPr>
                      <w:rFonts w:hint="default" w:ascii="Times New Roman" w:hAnsi="Times New Roman" w:cs="Times New Roman"/>
                      <w:color w:val="auto"/>
                      <w:spacing w:val="3"/>
                      <w:sz w:val="20"/>
                      <w:szCs w:val="20"/>
                      <w:highlight w:val="none"/>
                    </w:rPr>
                    <w:t>1</w:t>
                  </w:r>
                  <w:r>
                    <w:rPr>
                      <w:rFonts w:hint="default" w:ascii="Times New Roman" w:hAnsi="Times New Roman" w:eastAsia="Times New Roman" w:cs="Times New Roman"/>
                      <w:color w:val="auto"/>
                      <w:spacing w:val="3"/>
                      <w:sz w:val="20"/>
                      <w:szCs w:val="20"/>
                      <w:highlight w:val="none"/>
                    </w:rPr>
                    <w:t>-49</w:t>
                  </w:r>
                </w:p>
              </w:tc>
              <w:tc>
                <w:tcPr>
                  <w:tcW w:w="1200" w:type="dxa"/>
                  <w:vAlign w:val="center"/>
                </w:tcPr>
                <w:p w14:paraId="1A023011">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413BB94C">
                  <w:pPr>
                    <w:jc w:val="center"/>
                    <w:rPr>
                      <w:rFonts w:hint="default" w:ascii="Times New Roman" w:hAnsi="Times New Roman" w:cs="Times New Roman"/>
                      <w:color w:val="auto"/>
                      <w:highlight w:val="none"/>
                    </w:rPr>
                  </w:pPr>
                </w:p>
              </w:tc>
            </w:tr>
            <w:tr w14:paraId="0D4AED4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600" w:hRule="atLeast"/>
                <w:jc w:val="center"/>
              </w:trPr>
              <w:tc>
                <w:tcPr>
                  <w:tcW w:w="421" w:type="dxa"/>
                  <w:vAlign w:val="center"/>
                </w:tcPr>
                <w:p w14:paraId="20664006">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13</w:t>
                  </w:r>
                </w:p>
              </w:tc>
              <w:tc>
                <w:tcPr>
                  <w:tcW w:w="1270" w:type="dxa"/>
                  <w:vAlign w:val="center"/>
                </w:tcPr>
                <w:p w14:paraId="43B216A7">
                  <w:pPr>
                    <w:jc w:val="center"/>
                    <w:rPr>
                      <w:rFonts w:hint="default" w:ascii="Times New Roman" w:hAnsi="Times New Roman" w:cs="Times New Roman"/>
                      <w:color w:val="auto"/>
                      <w:highlight w:val="none"/>
                    </w:rPr>
                  </w:pPr>
                  <w:r>
                    <w:rPr>
                      <w:rFonts w:hint="default" w:ascii="Times New Roman" w:hAnsi="Times New Roman" w:cs="Times New Roman"/>
                      <w:color w:val="auto"/>
                      <w:kern w:val="2"/>
                      <w:sz w:val="21"/>
                      <w:szCs w:val="21"/>
                      <w:highlight w:val="none"/>
                      <w:lang w:val="en-US" w:eastAsia="zh-CN" w:bidi="ar-SA"/>
                    </w:rPr>
                    <w:t>废润滑油</w:t>
                  </w:r>
                </w:p>
              </w:tc>
              <w:tc>
                <w:tcPr>
                  <w:tcW w:w="925" w:type="dxa"/>
                  <w:vAlign w:val="center"/>
                </w:tcPr>
                <w:p w14:paraId="0090A1E2">
                  <w:pPr>
                    <w:jc w:val="center"/>
                    <w:rPr>
                      <w:rFonts w:hint="default" w:ascii="Times New Roman" w:hAnsi="Times New Roman" w:cs="Times New Roman"/>
                      <w:color w:val="auto"/>
                      <w:highlight w:val="none"/>
                    </w:rPr>
                  </w:pPr>
                  <w:r>
                    <w:rPr>
                      <w:rFonts w:hint="default" w:ascii="Times New Roman" w:hAnsi="Times New Roman" w:cs="Times New Roman"/>
                      <w:color w:val="auto"/>
                      <w:kern w:val="2"/>
                      <w:sz w:val="21"/>
                      <w:szCs w:val="21"/>
                      <w:highlight w:val="none"/>
                      <w:lang w:val="en-US" w:eastAsia="zh-CN" w:bidi="ar-SA"/>
                    </w:rPr>
                    <w:t>实验室</w:t>
                  </w:r>
                </w:p>
              </w:tc>
              <w:tc>
                <w:tcPr>
                  <w:tcW w:w="1525" w:type="dxa"/>
                  <w:vMerge w:val="continue"/>
                  <w:vAlign w:val="center"/>
                </w:tcPr>
                <w:p w14:paraId="2115C7D5">
                  <w:pPr>
                    <w:jc w:val="center"/>
                    <w:rPr>
                      <w:rFonts w:hint="default" w:ascii="Times New Roman" w:hAnsi="Times New Roman" w:cs="Times New Roman"/>
                      <w:color w:val="auto"/>
                      <w:highlight w:val="none"/>
                    </w:rPr>
                  </w:pPr>
                </w:p>
              </w:tc>
              <w:tc>
                <w:tcPr>
                  <w:tcW w:w="1575" w:type="dxa"/>
                  <w:vAlign w:val="center"/>
                </w:tcPr>
                <w:p w14:paraId="22ECB7D3">
                  <w:pPr>
                    <w:spacing w:before="95" w:line="195" w:lineRule="auto"/>
                    <w:ind w:left="43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宋体" w:cs="Times New Roman"/>
                      <w:color w:val="auto"/>
                      <w:spacing w:val="11"/>
                      <w:sz w:val="20"/>
                      <w:szCs w:val="20"/>
                      <w:highlight w:val="none"/>
                      <w:lang w:val="en-US" w:eastAsia="zh-CN"/>
                    </w:rPr>
                    <w:t>08</w:t>
                  </w:r>
                </w:p>
                <w:p w14:paraId="07182B51">
                  <w:pPr>
                    <w:jc w:val="center"/>
                    <w:rPr>
                      <w:rFonts w:hint="default" w:ascii="Times New Roman" w:hAnsi="Times New Roman" w:cs="Times New Roman"/>
                      <w:color w:val="auto"/>
                      <w:highlight w:val="none"/>
                    </w:rPr>
                  </w:pPr>
                  <w:r>
                    <w:rPr>
                      <w:rFonts w:hint="default" w:ascii="Times New Roman" w:hAnsi="Times New Roman" w:eastAsia="Times New Roman" w:cs="Times New Roman"/>
                      <w:color w:val="auto"/>
                      <w:spacing w:val="3"/>
                      <w:sz w:val="20"/>
                      <w:szCs w:val="20"/>
                      <w:highlight w:val="none"/>
                    </w:rPr>
                    <w:t>900-</w:t>
                  </w:r>
                  <w:r>
                    <w:rPr>
                      <w:rFonts w:hint="default" w:ascii="Times New Roman" w:hAnsi="Times New Roman" w:eastAsia="宋体" w:cs="Times New Roman"/>
                      <w:color w:val="auto"/>
                      <w:spacing w:val="3"/>
                      <w:sz w:val="20"/>
                      <w:szCs w:val="20"/>
                      <w:highlight w:val="none"/>
                      <w:lang w:val="en-US" w:eastAsia="zh-CN"/>
                    </w:rPr>
                    <w:t>214</w:t>
                  </w:r>
                  <w:r>
                    <w:rPr>
                      <w:rFonts w:hint="default" w:ascii="Times New Roman" w:hAnsi="Times New Roman" w:eastAsia="Times New Roman" w:cs="Times New Roman"/>
                      <w:color w:val="auto"/>
                      <w:spacing w:val="3"/>
                      <w:sz w:val="20"/>
                      <w:szCs w:val="20"/>
                      <w:highlight w:val="none"/>
                    </w:rPr>
                    <w:t>-</w:t>
                  </w:r>
                  <w:r>
                    <w:rPr>
                      <w:rFonts w:hint="default" w:ascii="Times New Roman" w:hAnsi="Times New Roman" w:eastAsia="宋体" w:cs="Times New Roman"/>
                      <w:color w:val="auto"/>
                      <w:spacing w:val="3"/>
                      <w:sz w:val="20"/>
                      <w:szCs w:val="20"/>
                      <w:highlight w:val="none"/>
                      <w:lang w:val="en-US" w:eastAsia="zh-CN"/>
                    </w:rPr>
                    <w:t>08</w:t>
                  </w:r>
                </w:p>
              </w:tc>
              <w:tc>
                <w:tcPr>
                  <w:tcW w:w="1200" w:type="dxa"/>
                  <w:vAlign w:val="center"/>
                </w:tcPr>
                <w:p w14:paraId="7C16D8E9">
                  <w:pPr>
                    <w:jc w:val="center"/>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w:t>
                  </w:r>
                </w:p>
              </w:tc>
              <w:tc>
                <w:tcPr>
                  <w:tcW w:w="1261" w:type="dxa"/>
                  <w:vMerge w:val="continue"/>
                  <w:vAlign w:val="center"/>
                </w:tcPr>
                <w:p w14:paraId="4EAEEFA2">
                  <w:pPr>
                    <w:jc w:val="center"/>
                    <w:rPr>
                      <w:rFonts w:hint="default" w:ascii="Times New Roman" w:hAnsi="Times New Roman" w:cs="Times New Roman"/>
                      <w:color w:val="auto"/>
                      <w:highlight w:val="none"/>
                    </w:rPr>
                  </w:pPr>
                </w:p>
              </w:tc>
            </w:tr>
            <w:tr w14:paraId="2C699FC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421" w:type="dxa"/>
                  <w:vAlign w:val="center"/>
                </w:tcPr>
                <w:p w14:paraId="56C7F58B">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en-US" w:eastAsia="zh-CN"/>
                    </w:rPr>
                    <w:t>14</w:t>
                  </w:r>
                </w:p>
              </w:tc>
              <w:tc>
                <w:tcPr>
                  <w:tcW w:w="1270" w:type="dxa"/>
                  <w:vAlign w:val="center"/>
                </w:tcPr>
                <w:p w14:paraId="309AEAE9">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生活垃圾</w:t>
                  </w:r>
                </w:p>
              </w:tc>
              <w:tc>
                <w:tcPr>
                  <w:tcW w:w="925" w:type="dxa"/>
                  <w:vAlign w:val="center"/>
                </w:tcPr>
                <w:p w14:paraId="1DFC15D4">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员工生活</w:t>
                  </w:r>
                </w:p>
              </w:tc>
              <w:tc>
                <w:tcPr>
                  <w:tcW w:w="1525" w:type="dxa"/>
                  <w:vAlign w:val="center"/>
                </w:tcPr>
                <w:p w14:paraId="0120220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1575" w:type="dxa"/>
                  <w:vAlign w:val="center"/>
                </w:tcPr>
                <w:p w14:paraId="4EF8D330">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200" w:type="dxa"/>
                  <w:vAlign w:val="center"/>
                </w:tcPr>
                <w:p w14:paraId="315D5876">
                  <w:pPr>
                    <w:jc w:val="center"/>
                    <w:rPr>
                      <w:rFonts w:hint="default" w:ascii="Times New Roman" w:hAnsi="Times New Roman" w:eastAsia="宋体" w:cs="Times New Roman"/>
                      <w:color w:val="auto"/>
                      <w:highlight w:val="none"/>
                      <w:lang w:val="en-US" w:eastAsia="zh-CN"/>
                    </w:rPr>
                  </w:pPr>
                  <w:r>
                    <w:rPr>
                      <w:rFonts w:hint="eastAsia" w:cs="Times New Roman"/>
                      <w:color w:val="auto"/>
                      <w:sz w:val="24"/>
                      <w:szCs w:val="24"/>
                      <w:highlight w:val="none"/>
                      <w:lang w:val="en-US" w:eastAsia="zh-CN"/>
                    </w:rPr>
                    <w:t>***</w:t>
                  </w:r>
                </w:p>
              </w:tc>
              <w:tc>
                <w:tcPr>
                  <w:tcW w:w="1261" w:type="dxa"/>
                  <w:vAlign w:val="center"/>
                </w:tcPr>
                <w:p w14:paraId="702E3B8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环卫清运</w:t>
                  </w:r>
                </w:p>
              </w:tc>
            </w:tr>
          </w:tbl>
          <w:p w14:paraId="125CF2D7">
            <w:pPr>
              <w:topLinePunct/>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4.2危险废物处置情况</w:t>
            </w:r>
          </w:p>
          <w:p w14:paraId="5757B3B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危险废物：本项目产生的危险废物有废气处理设施废活性炭、清洗废液</w:t>
            </w:r>
            <w:r>
              <w:rPr>
                <w:rFonts w:hint="default" w:ascii="Times New Roman" w:hAnsi="Times New Roman" w:cs="Times New Roman"/>
                <w:color w:val="auto"/>
                <w:sz w:val="24"/>
                <w:highlight w:val="none"/>
                <w:lang w:val="en-US" w:eastAsia="zh-CN"/>
              </w:rPr>
              <w:t>、</w:t>
            </w:r>
            <w:r>
              <w:rPr>
                <w:rFonts w:hint="eastAsia" w:cs="Times New Roman"/>
                <w:color w:val="auto"/>
                <w:sz w:val="24"/>
                <w:highlight w:val="none"/>
                <w:lang w:eastAsia="zh-CN"/>
              </w:rPr>
              <w:t>废擦拭乙醇</w:t>
            </w:r>
            <w:r>
              <w:rPr>
                <w:rFonts w:hint="default" w:ascii="Times New Roman" w:hAnsi="Times New Roman" w:cs="Times New Roman"/>
                <w:color w:val="auto"/>
                <w:sz w:val="24"/>
                <w:highlight w:val="none"/>
              </w:rPr>
              <w:t>、实验配液间废一次性器具及防护用品、废涂布溶液化学品废包装材料</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废润滑油和报废品</w:t>
            </w:r>
            <w:r>
              <w:rPr>
                <w:rFonts w:hint="default" w:ascii="Times New Roman" w:hAnsi="Times New Roman" w:cs="Times New Roman"/>
                <w:color w:val="auto"/>
                <w:sz w:val="24"/>
                <w:highlight w:val="none"/>
              </w:rPr>
              <w:t>等，项目设计建设危废库面积为50 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，项目各危废产量皆小于各危废贮存能力最大贮存量，最大贮存周期为半年，因此，项目新建危废仓库贮存能力可满足全厂危废暂存需求。危险废物定期委托有资质单位进行处理。</w:t>
            </w:r>
          </w:p>
          <w:p w14:paraId="332ADB8E">
            <w:pPr>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表4.1</w:t>
            </w:r>
            <w:r>
              <w:rPr>
                <w:rFonts w:hint="default" w:ascii="Times New Roman" w:hAnsi="Times New Roman" w:cs="Times New Roman"/>
                <w:b/>
                <w:bCs/>
                <w:color w:val="auto"/>
                <w:sz w:val="24"/>
                <w:highlight w:val="none"/>
                <w:lang w:val="en-US" w:eastAsia="zh-CN"/>
              </w:rPr>
              <w:t>9</w:t>
            </w:r>
            <w:r>
              <w:rPr>
                <w:rFonts w:hint="default" w:ascii="Times New Roman" w:hAnsi="Times New Roman" w:cs="Times New Roman"/>
                <w:b/>
                <w:bCs/>
                <w:color w:val="auto"/>
                <w:sz w:val="24"/>
                <w:highlight w:val="none"/>
              </w:rPr>
              <w:t xml:space="preserve">  全厂建成后危险废物贮存场所（设施）基本情况表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361"/>
              <w:gridCol w:w="1448"/>
              <w:gridCol w:w="684"/>
              <w:gridCol w:w="856"/>
              <w:gridCol w:w="1166"/>
              <w:gridCol w:w="598"/>
              <w:gridCol w:w="831"/>
            </w:tblGrid>
            <w:tr w14:paraId="5996A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0" w:type="pct"/>
                  <w:noWrap w:val="0"/>
                  <w:vAlign w:val="center"/>
                </w:tcPr>
                <w:p w14:paraId="1B167CD0">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贮存场所（设施）名称</w:t>
                  </w:r>
                </w:p>
              </w:tc>
              <w:tc>
                <w:tcPr>
                  <w:tcW w:w="838" w:type="pct"/>
                  <w:noWrap w:val="0"/>
                  <w:vAlign w:val="center"/>
                </w:tcPr>
                <w:p w14:paraId="3494489C">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危险废物名称</w:t>
                  </w:r>
                </w:p>
              </w:tc>
              <w:tc>
                <w:tcPr>
                  <w:tcW w:w="892" w:type="pct"/>
                  <w:noWrap w:val="0"/>
                  <w:vAlign w:val="center"/>
                </w:tcPr>
                <w:p w14:paraId="104937CD">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w:t>
                  </w:r>
                </w:p>
                <w:p w14:paraId="734B0828">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代码</w:t>
                  </w:r>
                </w:p>
              </w:tc>
              <w:tc>
                <w:tcPr>
                  <w:tcW w:w="421" w:type="pct"/>
                  <w:noWrap w:val="0"/>
                  <w:vAlign w:val="center"/>
                </w:tcPr>
                <w:p w14:paraId="08F356E1">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位置</w:t>
                  </w:r>
                </w:p>
              </w:tc>
              <w:tc>
                <w:tcPr>
                  <w:tcW w:w="527" w:type="pct"/>
                  <w:noWrap w:val="0"/>
                  <w:vAlign w:val="center"/>
                </w:tcPr>
                <w:p w14:paraId="4847B31E">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占地面积</w:t>
                  </w:r>
                </w:p>
              </w:tc>
              <w:tc>
                <w:tcPr>
                  <w:tcW w:w="718" w:type="pct"/>
                  <w:noWrap w:val="0"/>
                  <w:vAlign w:val="center"/>
                </w:tcPr>
                <w:p w14:paraId="2AC2E34D">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贮存方式</w:t>
                  </w:r>
                </w:p>
              </w:tc>
              <w:tc>
                <w:tcPr>
                  <w:tcW w:w="368" w:type="pct"/>
                  <w:noWrap w:val="0"/>
                  <w:vAlign w:val="center"/>
                </w:tcPr>
                <w:p w14:paraId="4E09B4CC">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w:t>
                  </w:r>
                </w:p>
                <w:p w14:paraId="4936661E">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能力</w:t>
                  </w:r>
                </w:p>
              </w:tc>
              <w:tc>
                <w:tcPr>
                  <w:tcW w:w="512" w:type="pct"/>
                  <w:noWrap w:val="0"/>
                  <w:vAlign w:val="center"/>
                </w:tcPr>
                <w:p w14:paraId="50E7907E">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w:t>
                  </w:r>
                </w:p>
                <w:p w14:paraId="7220DB2E">
                  <w:pPr>
                    <w:pStyle w:val="46"/>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周期</w:t>
                  </w:r>
                </w:p>
              </w:tc>
            </w:tr>
            <w:tr w14:paraId="7D0E3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restart"/>
                  <w:noWrap w:val="0"/>
                  <w:vAlign w:val="center"/>
                </w:tcPr>
                <w:p w14:paraId="47042954">
                  <w:pPr>
                    <w:autoSpaceDE w:val="0"/>
                    <w:autoSpaceDN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危废</w:t>
                  </w:r>
                  <w:r>
                    <w:rPr>
                      <w:rFonts w:hint="default" w:ascii="Times New Roman" w:hAnsi="Times New Roman" w:cs="Times New Roman"/>
                      <w:color w:val="auto"/>
                      <w:sz w:val="21"/>
                      <w:szCs w:val="21"/>
                      <w:highlight w:val="none"/>
                      <w:lang w:val="en-US" w:eastAsia="zh-CN"/>
                    </w:rPr>
                    <w:t>暂存库</w:t>
                  </w:r>
                </w:p>
              </w:tc>
              <w:tc>
                <w:tcPr>
                  <w:tcW w:w="838" w:type="pct"/>
                  <w:noWrap w:val="0"/>
                  <w:vAlign w:val="center"/>
                </w:tcPr>
                <w:p w14:paraId="696478F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废气处理设施废活性炭</w:t>
                  </w:r>
                </w:p>
              </w:tc>
              <w:tc>
                <w:tcPr>
                  <w:tcW w:w="892" w:type="pct"/>
                  <w:noWrap w:val="0"/>
                  <w:vAlign w:val="center"/>
                </w:tcPr>
                <w:p w14:paraId="466B56F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71F142C0">
                  <w:pPr>
                    <w:jc w:val="center"/>
                    <w:rPr>
                      <w:rFonts w:hint="default" w:ascii="Times New Roman" w:hAnsi="Times New Roman" w:eastAsia="宋体" w:cs="Times New Roman"/>
                      <w:color w:val="auto"/>
                      <w:kern w:val="2"/>
                      <w:sz w:val="21"/>
                      <w:szCs w:val="21"/>
                      <w:highlight w:val="none"/>
                      <w:lang w:val="en-GB" w:eastAsia="zh-CN" w:bidi="ar-SA"/>
                    </w:rPr>
                  </w:pPr>
                  <w:r>
                    <w:rPr>
                      <w:rFonts w:hint="default" w:ascii="Times New Roman" w:hAnsi="Times New Roman" w:cs="Times New Roman"/>
                      <w:color w:val="auto"/>
                      <w:highlight w:val="none"/>
                    </w:rPr>
                    <w:t>900-041-49</w:t>
                  </w:r>
                </w:p>
              </w:tc>
              <w:tc>
                <w:tcPr>
                  <w:tcW w:w="421" w:type="pct"/>
                  <w:vMerge w:val="restart"/>
                  <w:noWrap w:val="0"/>
                  <w:vAlign w:val="center"/>
                </w:tcPr>
                <w:p w14:paraId="19DA7EA7">
                  <w:pPr>
                    <w:autoSpaceDE w:val="0"/>
                    <w:autoSpaceDN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厂区</w:t>
                  </w:r>
                </w:p>
                <w:p w14:paraId="271DC639">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西部</w:t>
                  </w:r>
                </w:p>
              </w:tc>
              <w:tc>
                <w:tcPr>
                  <w:tcW w:w="527" w:type="pct"/>
                  <w:vMerge w:val="restart"/>
                  <w:noWrap w:val="0"/>
                  <w:vAlign w:val="center"/>
                </w:tcPr>
                <w:p w14:paraId="64BD9580">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718" w:type="pct"/>
                  <w:noWrap w:val="0"/>
                  <w:vAlign w:val="center"/>
                </w:tcPr>
                <w:p w14:paraId="1B3E897D">
                  <w:pPr>
                    <w:autoSpaceDE w:val="0"/>
                    <w:autoSpaceDN w:val="0"/>
                    <w:snapToGrid w:val="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塑料</w:t>
                  </w:r>
                  <w:r>
                    <w:rPr>
                      <w:rFonts w:hint="default" w:ascii="Times New Roman" w:hAnsi="Times New Roman" w:eastAsia="宋体" w:cs="Times New Roman"/>
                      <w:color w:val="auto"/>
                      <w:sz w:val="21"/>
                      <w:szCs w:val="21"/>
                      <w:highlight w:val="none"/>
                    </w:rPr>
                    <w:t>袋装</w:t>
                  </w:r>
                </w:p>
              </w:tc>
              <w:tc>
                <w:tcPr>
                  <w:tcW w:w="368" w:type="pct"/>
                  <w:vMerge w:val="restart"/>
                  <w:noWrap w:val="0"/>
                  <w:vAlign w:val="center"/>
                </w:tcPr>
                <w:p w14:paraId="3E0A08AB">
                  <w:pPr>
                    <w:pStyle w:val="6"/>
                    <w:bidi w:val="0"/>
                    <w:rPr>
                      <w:rFonts w:hint="default" w:ascii="Times New Roman" w:hAnsi="Times New Roman" w:cs="Times New Roman"/>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100吨</w:t>
                  </w:r>
                </w:p>
              </w:tc>
              <w:tc>
                <w:tcPr>
                  <w:tcW w:w="512" w:type="pct"/>
                  <w:noWrap w:val="0"/>
                  <w:vAlign w:val="center"/>
                </w:tcPr>
                <w:p w14:paraId="673F2DC1">
                  <w:pPr>
                    <w:autoSpaceDE w:val="0"/>
                    <w:autoSpaceDN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01995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5458CF8D">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4894BC2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清洗废液</w:t>
                  </w:r>
                </w:p>
              </w:tc>
              <w:tc>
                <w:tcPr>
                  <w:tcW w:w="892" w:type="pct"/>
                  <w:noWrap w:val="0"/>
                  <w:vAlign w:val="center"/>
                </w:tcPr>
                <w:p w14:paraId="0B272EF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HW06</w:t>
                  </w:r>
                </w:p>
                <w:p w14:paraId="0B1B8B9E">
                  <w:pPr>
                    <w:jc w:val="center"/>
                    <w:rPr>
                      <w:rFonts w:hint="default" w:ascii="Times New Roman" w:hAnsi="Times New Roman" w:eastAsia="宋体" w:cs="Times New Roman"/>
                      <w:color w:val="auto"/>
                      <w:kern w:val="2"/>
                      <w:sz w:val="21"/>
                      <w:szCs w:val="21"/>
                      <w:highlight w:val="none"/>
                      <w:lang w:val="en-GB" w:eastAsia="zh-CN" w:bidi="ar-SA"/>
                    </w:rPr>
                  </w:pPr>
                  <w:r>
                    <w:rPr>
                      <w:rFonts w:hint="default" w:ascii="Times New Roman" w:hAnsi="Times New Roman" w:cs="Times New Roman"/>
                      <w:color w:val="auto"/>
                      <w:highlight w:val="none"/>
                    </w:rPr>
                    <w:t>900-404-06</w:t>
                  </w:r>
                </w:p>
              </w:tc>
              <w:tc>
                <w:tcPr>
                  <w:tcW w:w="421" w:type="pct"/>
                  <w:vMerge w:val="continue"/>
                  <w:noWrap w:val="0"/>
                  <w:vAlign w:val="center"/>
                </w:tcPr>
                <w:p w14:paraId="390A98E1">
                  <w:pPr>
                    <w:autoSpaceDE w:val="0"/>
                    <w:autoSpaceDN w:val="0"/>
                    <w:snapToGrid w:val="0"/>
                    <w:jc w:val="center"/>
                    <w:rPr>
                      <w:rFonts w:hint="default" w:ascii="Times New Roman" w:hAnsi="Times New Roman" w:eastAsia="宋体" w:cs="Times New Roman"/>
                      <w:color w:val="auto"/>
                      <w:sz w:val="21"/>
                      <w:szCs w:val="21"/>
                      <w:highlight w:val="none"/>
                    </w:rPr>
                  </w:pPr>
                </w:p>
              </w:tc>
              <w:tc>
                <w:tcPr>
                  <w:tcW w:w="527" w:type="pct"/>
                  <w:vMerge w:val="continue"/>
                  <w:noWrap w:val="0"/>
                  <w:vAlign w:val="center"/>
                </w:tcPr>
                <w:p w14:paraId="3587ADFC">
                  <w:pPr>
                    <w:autoSpaceDE w:val="0"/>
                    <w:autoSpaceDN w:val="0"/>
                    <w:snapToGrid w:val="0"/>
                    <w:jc w:val="center"/>
                    <w:rPr>
                      <w:rFonts w:hint="default" w:ascii="Times New Roman" w:hAnsi="Times New Roman" w:eastAsia="宋体" w:cs="Times New Roman"/>
                      <w:color w:val="auto"/>
                      <w:sz w:val="21"/>
                      <w:szCs w:val="21"/>
                      <w:highlight w:val="none"/>
                      <w:lang w:eastAsia="zh-CN"/>
                    </w:rPr>
                  </w:pPr>
                </w:p>
              </w:tc>
              <w:tc>
                <w:tcPr>
                  <w:tcW w:w="718" w:type="pct"/>
                  <w:noWrap w:val="0"/>
                  <w:vAlign w:val="center"/>
                </w:tcPr>
                <w:p w14:paraId="7F837846">
                  <w:pPr>
                    <w:autoSpaceDE w:val="0"/>
                    <w:autoSpaceDN w:val="0"/>
                    <w:snapToGrid w:val="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617A8344">
                  <w:pPr>
                    <w:autoSpaceDE w:val="0"/>
                    <w:autoSpaceDN w:val="0"/>
                    <w:snapToGrid w:val="0"/>
                    <w:jc w:val="center"/>
                    <w:rPr>
                      <w:rFonts w:hint="default" w:ascii="Times New Roman" w:hAnsi="Times New Roman" w:eastAsia="宋体" w:cs="Times New Roman"/>
                      <w:color w:val="auto"/>
                      <w:sz w:val="21"/>
                      <w:szCs w:val="21"/>
                      <w:highlight w:val="none"/>
                    </w:rPr>
                  </w:pPr>
                </w:p>
              </w:tc>
              <w:tc>
                <w:tcPr>
                  <w:tcW w:w="512" w:type="pct"/>
                  <w:noWrap w:val="0"/>
                  <w:vAlign w:val="center"/>
                </w:tcPr>
                <w:p w14:paraId="26A4323F">
                  <w:pPr>
                    <w:autoSpaceDE w:val="0"/>
                    <w:autoSpaceDN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03430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4A7DF4BE">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67C959CC">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eastAsia="zh-CN"/>
                    </w:rPr>
                    <w:t>废擦拭乙醇</w:t>
                  </w:r>
                </w:p>
              </w:tc>
              <w:tc>
                <w:tcPr>
                  <w:tcW w:w="892" w:type="pct"/>
                  <w:noWrap w:val="0"/>
                  <w:vAlign w:val="center"/>
                </w:tcPr>
                <w:p w14:paraId="343B368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7BABD7AF">
                  <w:pPr>
                    <w:jc w:val="center"/>
                    <w:rPr>
                      <w:rFonts w:hint="default" w:ascii="Times New Roman" w:hAnsi="Times New Roman" w:eastAsia="宋体" w:cs="Times New Roman"/>
                      <w:color w:val="auto"/>
                      <w:kern w:val="2"/>
                      <w:sz w:val="21"/>
                      <w:szCs w:val="21"/>
                      <w:highlight w:val="none"/>
                      <w:lang w:val="en-GB" w:eastAsia="zh-CN" w:bidi="ar-SA"/>
                    </w:rPr>
                  </w:pPr>
                  <w:r>
                    <w:rPr>
                      <w:rFonts w:hint="default" w:ascii="Times New Roman" w:hAnsi="Times New Roman" w:cs="Times New Roman"/>
                      <w:color w:val="auto"/>
                      <w:highlight w:val="none"/>
                    </w:rPr>
                    <w:t>900-041-49</w:t>
                  </w:r>
                </w:p>
              </w:tc>
              <w:tc>
                <w:tcPr>
                  <w:tcW w:w="421" w:type="pct"/>
                  <w:vMerge w:val="continue"/>
                  <w:noWrap w:val="0"/>
                  <w:vAlign w:val="center"/>
                </w:tcPr>
                <w:p w14:paraId="51B201DD">
                  <w:pPr>
                    <w:autoSpaceDE w:val="0"/>
                    <w:autoSpaceDN w:val="0"/>
                    <w:snapToGrid w:val="0"/>
                    <w:jc w:val="center"/>
                    <w:rPr>
                      <w:rFonts w:hint="default" w:ascii="Times New Roman" w:hAnsi="Times New Roman" w:eastAsia="宋体" w:cs="Times New Roman"/>
                      <w:color w:val="auto"/>
                      <w:sz w:val="21"/>
                      <w:szCs w:val="21"/>
                      <w:highlight w:val="none"/>
                    </w:rPr>
                  </w:pPr>
                </w:p>
              </w:tc>
              <w:tc>
                <w:tcPr>
                  <w:tcW w:w="527" w:type="pct"/>
                  <w:vMerge w:val="continue"/>
                  <w:noWrap w:val="0"/>
                  <w:vAlign w:val="center"/>
                </w:tcPr>
                <w:p w14:paraId="494DB8C8">
                  <w:pPr>
                    <w:autoSpaceDE w:val="0"/>
                    <w:autoSpaceDN w:val="0"/>
                    <w:snapToGrid w:val="0"/>
                    <w:jc w:val="center"/>
                    <w:rPr>
                      <w:rFonts w:hint="default" w:ascii="Times New Roman" w:hAnsi="Times New Roman" w:eastAsia="宋体" w:cs="Times New Roman"/>
                      <w:color w:val="auto"/>
                      <w:sz w:val="21"/>
                      <w:szCs w:val="21"/>
                      <w:highlight w:val="none"/>
                      <w:lang w:eastAsia="zh-CN"/>
                    </w:rPr>
                  </w:pPr>
                </w:p>
              </w:tc>
              <w:tc>
                <w:tcPr>
                  <w:tcW w:w="718" w:type="pct"/>
                  <w:noWrap w:val="0"/>
                  <w:vAlign w:val="center"/>
                </w:tcPr>
                <w:p w14:paraId="7C68C3C6">
                  <w:pPr>
                    <w:autoSpaceDE w:val="0"/>
                    <w:autoSpaceDN w:val="0"/>
                    <w:snapToGrid w:val="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254A8C0A">
                  <w:pPr>
                    <w:autoSpaceDE w:val="0"/>
                    <w:autoSpaceDN w:val="0"/>
                    <w:snapToGrid w:val="0"/>
                    <w:jc w:val="center"/>
                    <w:rPr>
                      <w:rFonts w:hint="default" w:ascii="Times New Roman" w:hAnsi="Times New Roman" w:eastAsia="宋体" w:cs="Times New Roman"/>
                      <w:color w:val="auto"/>
                      <w:sz w:val="21"/>
                      <w:szCs w:val="21"/>
                      <w:highlight w:val="none"/>
                    </w:rPr>
                  </w:pPr>
                </w:p>
              </w:tc>
              <w:tc>
                <w:tcPr>
                  <w:tcW w:w="512" w:type="pct"/>
                  <w:noWrap w:val="0"/>
                  <w:vAlign w:val="center"/>
                </w:tcPr>
                <w:p w14:paraId="54ADD0D7">
                  <w:pPr>
                    <w:autoSpaceDE w:val="0"/>
                    <w:autoSpaceDN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0920C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51D21417">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43446D7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实验配液间废一次性器具及防护用品</w:t>
                  </w:r>
                </w:p>
              </w:tc>
              <w:tc>
                <w:tcPr>
                  <w:tcW w:w="892" w:type="pct"/>
                  <w:noWrap w:val="0"/>
                  <w:vAlign w:val="center"/>
                </w:tcPr>
                <w:p w14:paraId="3A25D2C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6DDA5A9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900-041-49</w:t>
                  </w:r>
                </w:p>
              </w:tc>
              <w:tc>
                <w:tcPr>
                  <w:tcW w:w="421" w:type="pct"/>
                  <w:vMerge w:val="continue"/>
                  <w:noWrap w:val="0"/>
                  <w:vAlign w:val="center"/>
                </w:tcPr>
                <w:p w14:paraId="1BAF3819">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27" w:type="pct"/>
                  <w:vMerge w:val="continue"/>
                  <w:noWrap w:val="0"/>
                  <w:vAlign w:val="center"/>
                </w:tcPr>
                <w:p w14:paraId="3F4EA905">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718" w:type="pct"/>
                  <w:noWrap w:val="0"/>
                  <w:vAlign w:val="center"/>
                </w:tcPr>
                <w:p w14:paraId="26A45109">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4008886F">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12" w:type="pct"/>
                  <w:noWrap w:val="0"/>
                  <w:vAlign w:val="center"/>
                </w:tcPr>
                <w:p w14:paraId="2C873AEE">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1DD4A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037FBF77">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50F3CCCC">
                  <w:pPr>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Cs w:val="21"/>
                      <w:highlight w:val="none"/>
                    </w:rPr>
                    <w:t>废涂布溶液</w:t>
                  </w:r>
                </w:p>
              </w:tc>
              <w:tc>
                <w:tcPr>
                  <w:tcW w:w="892" w:type="pct"/>
                  <w:noWrap w:val="0"/>
                  <w:vAlign w:val="center"/>
                </w:tcPr>
                <w:p w14:paraId="6958A53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62A09D63">
                  <w:pPr>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highlight w:val="none"/>
                    </w:rPr>
                    <w:t>900-041-49</w:t>
                  </w:r>
                </w:p>
              </w:tc>
              <w:tc>
                <w:tcPr>
                  <w:tcW w:w="421" w:type="pct"/>
                  <w:vMerge w:val="continue"/>
                  <w:noWrap w:val="0"/>
                  <w:vAlign w:val="center"/>
                </w:tcPr>
                <w:p w14:paraId="23600E44">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27" w:type="pct"/>
                  <w:vMerge w:val="continue"/>
                  <w:noWrap w:val="0"/>
                  <w:vAlign w:val="center"/>
                </w:tcPr>
                <w:p w14:paraId="666EE54A">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718" w:type="pct"/>
                  <w:noWrap w:val="0"/>
                  <w:vAlign w:val="center"/>
                </w:tcPr>
                <w:p w14:paraId="5A36D789">
                  <w:pPr>
                    <w:autoSpaceDE w:val="0"/>
                    <w:autoSpaceDN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71790D41">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12" w:type="pct"/>
                  <w:noWrap w:val="0"/>
                  <w:vAlign w:val="center"/>
                </w:tcPr>
                <w:p w14:paraId="51F5BB1F">
                  <w:pPr>
                    <w:autoSpaceDE w:val="0"/>
                    <w:autoSpaceDN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64730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17ED7D6F">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388AD173">
                  <w:pPr>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Cs w:val="21"/>
                      <w:highlight w:val="none"/>
                    </w:rPr>
                    <w:t>化学品废包装材料</w:t>
                  </w:r>
                </w:p>
              </w:tc>
              <w:tc>
                <w:tcPr>
                  <w:tcW w:w="892" w:type="pct"/>
                  <w:noWrap w:val="0"/>
                  <w:vAlign w:val="center"/>
                </w:tcPr>
                <w:p w14:paraId="093090DA">
                  <w:pPr>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highlight w:val="none"/>
                    </w:rPr>
                    <w:t>/</w:t>
                  </w:r>
                </w:p>
              </w:tc>
              <w:tc>
                <w:tcPr>
                  <w:tcW w:w="421" w:type="pct"/>
                  <w:vMerge w:val="continue"/>
                  <w:noWrap w:val="0"/>
                  <w:vAlign w:val="center"/>
                </w:tcPr>
                <w:p w14:paraId="4662BA57">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27" w:type="pct"/>
                  <w:vMerge w:val="continue"/>
                  <w:noWrap w:val="0"/>
                  <w:vAlign w:val="center"/>
                </w:tcPr>
                <w:p w14:paraId="4CF2BB2E">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718" w:type="pct"/>
                  <w:noWrap w:val="0"/>
                  <w:vAlign w:val="center"/>
                </w:tcPr>
                <w:p w14:paraId="0D0A6718">
                  <w:pPr>
                    <w:autoSpaceDE w:val="0"/>
                    <w:autoSpaceDN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67C1BAA3">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12" w:type="pct"/>
                  <w:noWrap w:val="0"/>
                  <w:vAlign w:val="center"/>
                </w:tcPr>
                <w:p w14:paraId="4C0D0DB0">
                  <w:pPr>
                    <w:autoSpaceDE w:val="0"/>
                    <w:autoSpaceDN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3823F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34DAA2BE">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07AA70E3">
                  <w:pPr>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2"/>
                      <w:sz w:val="21"/>
                      <w:szCs w:val="21"/>
                      <w:highlight w:val="none"/>
                      <w:lang w:val="en-US" w:eastAsia="zh-CN" w:bidi="ar-SA"/>
                    </w:rPr>
                    <w:t>废润滑油</w:t>
                  </w:r>
                </w:p>
              </w:tc>
              <w:tc>
                <w:tcPr>
                  <w:tcW w:w="892" w:type="pct"/>
                  <w:noWrap w:val="0"/>
                  <w:vAlign w:val="center"/>
                </w:tcPr>
                <w:p w14:paraId="160D9B31">
                  <w:pPr>
                    <w:spacing w:before="95" w:line="195" w:lineRule="auto"/>
                    <w:ind w:left="43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Times New Roman" w:cs="Times New Roman"/>
                      <w:color w:val="auto"/>
                      <w:sz w:val="20"/>
                      <w:szCs w:val="20"/>
                      <w:highlight w:val="none"/>
                    </w:rPr>
                    <w:t>HW</w:t>
                  </w:r>
                  <w:r>
                    <w:rPr>
                      <w:rFonts w:hint="default" w:ascii="Times New Roman" w:hAnsi="Times New Roman" w:eastAsia="宋体" w:cs="Times New Roman"/>
                      <w:color w:val="auto"/>
                      <w:spacing w:val="11"/>
                      <w:sz w:val="20"/>
                      <w:szCs w:val="20"/>
                      <w:highlight w:val="none"/>
                      <w:lang w:val="en-US" w:eastAsia="zh-CN"/>
                    </w:rPr>
                    <w:t>08</w:t>
                  </w:r>
                </w:p>
                <w:p w14:paraId="6F5BED40">
                  <w:pPr>
                    <w:jc w:val="center"/>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3"/>
                      <w:sz w:val="20"/>
                      <w:szCs w:val="20"/>
                      <w:highlight w:val="none"/>
                    </w:rPr>
                    <w:t>900-</w:t>
                  </w:r>
                  <w:r>
                    <w:rPr>
                      <w:rFonts w:hint="default" w:ascii="Times New Roman" w:hAnsi="Times New Roman" w:eastAsia="宋体" w:cs="Times New Roman"/>
                      <w:color w:val="auto"/>
                      <w:spacing w:val="3"/>
                      <w:sz w:val="20"/>
                      <w:szCs w:val="20"/>
                      <w:highlight w:val="none"/>
                      <w:lang w:val="en-US" w:eastAsia="zh-CN"/>
                    </w:rPr>
                    <w:t>214</w:t>
                  </w:r>
                  <w:r>
                    <w:rPr>
                      <w:rFonts w:hint="default" w:ascii="Times New Roman" w:hAnsi="Times New Roman" w:eastAsia="Times New Roman" w:cs="Times New Roman"/>
                      <w:color w:val="auto"/>
                      <w:spacing w:val="3"/>
                      <w:sz w:val="20"/>
                      <w:szCs w:val="20"/>
                      <w:highlight w:val="none"/>
                    </w:rPr>
                    <w:t>-</w:t>
                  </w:r>
                  <w:r>
                    <w:rPr>
                      <w:rFonts w:hint="default" w:ascii="Times New Roman" w:hAnsi="Times New Roman" w:eastAsia="宋体" w:cs="Times New Roman"/>
                      <w:color w:val="auto"/>
                      <w:spacing w:val="3"/>
                      <w:sz w:val="20"/>
                      <w:szCs w:val="20"/>
                      <w:highlight w:val="none"/>
                      <w:lang w:val="en-US" w:eastAsia="zh-CN"/>
                    </w:rPr>
                    <w:t>08</w:t>
                  </w:r>
                </w:p>
              </w:tc>
              <w:tc>
                <w:tcPr>
                  <w:tcW w:w="421" w:type="pct"/>
                  <w:vMerge w:val="continue"/>
                  <w:noWrap w:val="0"/>
                  <w:vAlign w:val="center"/>
                </w:tcPr>
                <w:p w14:paraId="4F1D2459">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27" w:type="pct"/>
                  <w:vMerge w:val="continue"/>
                  <w:noWrap w:val="0"/>
                  <w:vAlign w:val="center"/>
                </w:tcPr>
                <w:p w14:paraId="4CD8F393">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718" w:type="pct"/>
                  <w:noWrap w:val="0"/>
                  <w:vAlign w:val="center"/>
                </w:tcPr>
                <w:p w14:paraId="6980017E">
                  <w:pPr>
                    <w:autoSpaceDE w:val="0"/>
                    <w:autoSpaceDN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74BA1447">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12" w:type="pct"/>
                  <w:noWrap w:val="0"/>
                  <w:vAlign w:val="center"/>
                </w:tcPr>
                <w:p w14:paraId="5321200B">
                  <w:pPr>
                    <w:autoSpaceDE w:val="0"/>
                    <w:autoSpaceDN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0C976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725A0252">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15F4E1ED">
                  <w:pPr>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报废品</w:t>
                  </w:r>
                </w:p>
              </w:tc>
              <w:tc>
                <w:tcPr>
                  <w:tcW w:w="892" w:type="pct"/>
                  <w:noWrap w:val="0"/>
                  <w:vAlign w:val="center"/>
                </w:tcPr>
                <w:p w14:paraId="53B541A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HW06</w:t>
                  </w:r>
                </w:p>
                <w:p w14:paraId="504C5A90">
                  <w:pPr>
                    <w:jc w:val="center"/>
                    <w:rPr>
                      <w:rFonts w:hint="default" w:ascii="Times New Roman" w:hAnsi="Times New Roman" w:eastAsia="Times New Roman" w:cs="Times New Roman"/>
                      <w:color w:val="auto"/>
                      <w:spacing w:val="3"/>
                      <w:sz w:val="20"/>
                      <w:szCs w:val="20"/>
                      <w:highlight w:val="none"/>
                    </w:rPr>
                  </w:pPr>
                  <w:r>
                    <w:rPr>
                      <w:rFonts w:hint="default" w:ascii="Times New Roman" w:hAnsi="Times New Roman" w:cs="Times New Roman"/>
                      <w:color w:val="auto"/>
                      <w:highlight w:val="none"/>
                    </w:rPr>
                    <w:t>900-402-06</w:t>
                  </w:r>
                </w:p>
              </w:tc>
              <w:tc>
                <w:tcPr>
                  <w:tcW w:w="421" w:type="pct"/>
                  <w:vMerge w:val="continue"/>
                  <w:noWrap w:val="0"/>
                  <w:vAlign w:val="center"/>
                </w:tcPr>
                <w:p w14:paraId="05D8F398">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27" w:type="pct"/>
                  <w:vMerge w:val="continue"/>
                  <w:noWrap w:val="0"/>
                  <w:vAlign w:val="center"/>
                </w:tcPr>
                <w:p w14:paraId="2838BC21">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718" w:type="pct"/>
                  <w:noWrap w:val="0"/>
                  <w:vAlign w:val="center"/>
                </w:tcPr>
                <w:p w14:paraId="2C92DA9F">
                  <w:pPr>
                    <w:autoSpaceDE w:val="0"/>
                    <w:autoSpaceDN w:val="0"/>
                    <w:snapToGrid w:val="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1F1CDB94">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12" w:type="pct"/>
                  <w:noWrap w:val="0"/>
                  <w:vAlign w:val="center"/>
                </w:tcPr>
                <w:p w14:paraId="7627B238">
                  <w:pPr>
                    <w:autoSpaceDE w:val="0"/>
                    <w:autoSpaceDN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r w14:paraId="5ED10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0" w:type="pct"/>
                  <w:vMerge w:val="continue"/>
                  <w:noWrap w:val="0"/>
                  <w:vAlign w:val="center"/>
                </w:tcPr>
                <w:p w14:paraId="0336A93D">
                  <w:pPr>
                    <w:autoSpaceDE w:val="0"/>
                    <w:autoSpaceDN w:val="0"/>
                    <w:snapToGrid w:val="0"/>
                    <w:jc w:val="center"/>
                    <w:rPr>
                      <w:rFonts w:hint="default" w:ascii="Times New Roman" w:hAnsi="Times New Roman" w:eastAsia="宋体" w:cs="Times New Roman"/>
                      <w:color w:val="auto"/>
                      <w:sz w:val="21"/>
                      <w:szCs w:val="21"/>
                      <w:highlight w:val="none"/>
                    </w:rPr>
                  </w:pPr>
                </w:p>
              </w:tc>
              <w:tc>
                <w:tcPr>
                  <w:tcW w:w="838" w:type="pct"/>
                  <w:noWrap w:val="0"/>
                  <w:vAlign w:val="center"/>
                </w:tcPr>
                <w:p w14:paraId="79B45F48">
                  <w:pPr>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激光划线粉尘</w:t>
                  </w:r>
                </w:p>
              </w:tc>
              <w:tc>
                <w:tcPr>
                  <w:tcW w:w="892" w:type="pct"/>
                  <w:noWrap w:val="0"/>
                  <w:vAlign w:val="center"/>
                </w:tcPr>
                <w:p w14:paraId="73068D2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p w14:paraId="17CFAFD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w:t>
                  </w: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-49</w:t>
                  </w:r>
                </w:p>
              </w:tc>
              <w:tc>
                <w:tcPr>
                  <w:tcW w:w="421" w:type="pct"/>
                  <w:vMerge w:val="continue"/>
                  <w:noWrap w:val="0"/>
                  <w:vAlign w:val="center"/>
                </w:tcPr>
                <w:p w14:paraId="576879D5">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27" w:type="pct"/>
                  <w:vMerge w:val="continue"/>
                  <w:noWrap w:val="0"/>
                  <w:vAlign w:val="center"/>
                </w:tcPr>
                <w:p w14:paraId="4A999343">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718" w:type="pct"/>
                  <w:noWrap w:val="0"/>
                  <w:vAlign w:val="center"/>
                </w:tcPr>
                <w:p w14:paraId="6CAC8416">
                  <w:pPr>
                    <w:autoSpaceDE w:val="0"/>
                    <w:autoSpaceDN w:val="0"/>
                    <w:snapToGrid w:val="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桶装加盖暂存</w:t>
                  </w:r>
                </w:p>
              </w:tc>
              <w:tc>
                <w:tcPr>
                  <w:tcW w:w="368" w:type="pct"/>
                  <w:vMerge w:val="continue"/>
                  <w:noWrap w:val="0"/>
                  <w:vAlign w:val="center"/>
                </w:tcPr>
                <w:p w14:paraId="0C688F03">
                  <w:pPr>
                    <w:autoSpaceDE w:val="0"/>
                    <w:autoSpaceDN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12" w:type="pct"/>
                  <w:noWrap w:val="0"/>
                  <w:vAlign w:val="center"/>
                </w:tcPr>
                <w:p w14:paraId="5349B32B">
                  <w:pPr>
                    <w:autoSpaceDE w:val="0"/>
                    <w:autoSpaceDN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个月</w:t>
                  </w:r>
                </w:p>
              </w:tc>
            </w:tr>
          </w:tbl>
          <w:p w14:paraId="29A7E1C9">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4.3固废环境管理要求</w:t>
            </w:r>
          </w:p>
          <w:p w14:paraId="4DE5708F">
            <w:p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（1）一般固废管理要求</w:t>
            </w:r>
          </w:p>
          <w:p w14:paraId="333D7309">
            <w:pPr>
              <w:adjustRightInd w:val="0"/>
              <w:snapToGrid w:val="0"/>
              <w:spacing w:line="360" w:lineRule="auto"/>
              <w:ind w:firstLine="480" w:firstLineChars="200"/>
              <w:rPr>
                <w:rFonts w:hint="default" w:ascii="Times New Roman" w:hAnsi="Times New Roman" w:cs="Times New Roman"/>
                <w:color w:val="FF0000"/>
                <w:sz w:val="24"/>
                <w:highlight w:val="none"/>
              </w:rPr>
            </w:pPr>
            <w:r>
              <w:rPr>
                <w:color w:val="FF0000"/>
                <w:sz w:val="24"/>
              </w:rPr>
              <w:t>本项目生产过程中产生的</w:t>
            </w:r>
            <w:r>
              <w:rPr>
                <w:rFonts w:hint="eastAsia"/>
                <w:color w:val="FF0000"/>
                <w:sz w:val="24"/>
                <w:lang w:val="en-US" w:eastAsia="zh-CN"/>
              </w:rPr>
              <w:t>一般</w:t>
            </w:r>
            <w:r>
              <w:rPr>
                <w:rFonts w:hint="eastAsia"/>
                <w:color w:val="FF0000"/>
                <w:sz w:val="24"/>
              </w:rPr>
              <w:t>废包装</w:t>
            </w:r>
            <w:r>
              <w:rPr>
                <w:rFonts w:hint="eastAsia"/>
                <w:color w:val="FF0000"/>
                <w:sz w:val="24"/>
                <w:lang w:val="en-US" w:eastAsia="zh-CN"/>
              </w:rPr>
              <w:t>材料</w:t>
            </w:r>
            <w:r>
              <w:rPr>
                <w:rFonts w:hint="eastAsia"/>
                <w:color w:val="FF0000"/>
                <w:sz w:val="24"/>
              </w:rPr>
              <w:t>、</w:t>
            </w:r>
            <w:r>
              <w:rPr>
                <w:rFonts w:hint="eastAsia"/>
                <w:color w:val="FF0000"/>
                <w:sz w:val="24"/>
                <w:lang w:val="en-US" w:eastAsia="zh-CN"/>
              </w:rPr>
              <w:t>废滤芯、废反渗透膜和废靶材</w:t>
            </w:r>
            <w:r>
              <w:rPr>
                <w:color w:val="FF0000"/>
                <w:sz w:val="24"/>
              </w:rPr>
              <w:t>属于一般工业固废，形态为固态</w:t>
            </w:r>
            <w:r>
              <w:rPr>
                <w:rFonts w:hint="eastAsia"/>
                <w:color w:val="FF0000"/>
                <w:sz w:val="24"/>
                <w:lang w:eastAsia="zh-CN"/>
              </w:rPr>
              <w:t>。</w:t>
            </w:r>
            <w:r>
              <w:rPr>
                <w:rFonts w:hint="eastAsia"/>
                <w:color w:val="FF0000"/>
                <w:sz w:val="24"/>
                <w:lang w:val="en-US" w:eastAsia="zh-CN"/>
              </w:rPr>
              <w:t>一般</w:t>
            </w:r>
            <w:r>
              <w:rPr>
                <w:rFonts w:hint="eastAsia"/>
                <w:color w:val="FF0000"/>
                <w:sz w:val="24"/>
              </w:rPr>
              <w:t>废包装</w:t>
            </w:r>
            <w:r>
              <w:rPr>
                <w:rFonts w:hint="eastAsia"/>
                <w:color w:val="FF0000"/>
                <w:sz w:val="24"/>
                <w:lang w:val="en-US" w:eastAsia="zh-CN"/>
              </w:rPr>
              <w:t>材料</w:t>
            </w:r>
            <w:r>
              <w:rPr>
                <w:color w:val="FF0000"/>
                <w:sz w:val="24"/>
              </w:rPr>
              <w:t>收集后外售</w:t>
            </w:r>
            <w:r>
              <w:rPr>
                <w:rFonts w:hint="eastAsia"/>
                <w:color w:val="FF0000"/>
                <w:sz w:val="24"/>
                <w:lang w:eastAsia="zh-CN"/>
              </w:rPr>
              <w:t>，</w:t>
            </w:r>
            <w:r>
              <w:rPr>
                <w:rFonts w:hint="eastAsia"/>
                <w:color w:val="FF0000"/>
                <w:sz w:val="24"/>
                <w:lang w:val="en-US" w:eastAsia="zh-CN"/>
              </w:rPr>
              <w:t>废滤芯、废反渗透膜和废靶材厂家回收</w:t>
            </w:r>
            <w:r>
              <w:rPr>
                <w:color w:val="FF0000"/>
                <w:sz w:val="24"/>
              </w:rPr>
              <w:t>。一般工业固均存放在生产</w:t>
            </w:r>
            <w:r>
              <w:rPr>
                <w:rFonts w:hint="eastAsia"/>
                <w:color w:val="FF0000"/>
                <w:sz w:val="24"/>
                <w:lang w:val="en-US" w:eastAsia="zh-CN"/>
              </w:rPr>
              <w:t>厂房一</w:t>
            </w:r>
            <w:r>
              <w:rPr>
                <w:color w:val="FF0000"/>
                <w:sz w:val="24"/>
              </w:rPr>
              <w:t>西侧，面积约</w:t>
            </w:r>
            <w:r>
              <w:rPr>
                <w:rFonts w:hint="eastAsia"/>
                <w:color w:val="FF0000"/>
                <w:sz w:val="24"/>
                <w:lang w:val="en-US" w:eastAsia="zh-CN"/>
              </w:rPr>
              <w:t>250</w:t>
            </w:r>
            <w:r>
              <w:rPr>
                <w:color w:val="FF0000"/>
                <w:sz w:val="24"/>
              </w:rPr>
              <w:t>平方米，无渗滤液产生，不会对周围土壤和地下水环境产生污染，不会产生二次污染。</w:t>
            </w:r>
          </w:p>
          <w:p w14:paraId="1053C7C2">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根据《固体废物污染环境防治法（2020年修订）》</w:t>
            </w:r>
            <w:r>
              <w:rPr>
                <w:sz w:val="24"/>
              </w:rPr>
              <w:t>《一般工业固体废物贮存和填埋污染控制标准》(GB18599-2020)及修改单要求</w:t>
            </w:r>
            <w:r>
              <w:rPr>
                <w:rFonts w:hint="default" w:ascii="Times New Roman" w:hAnsi="Times New Roman" w:cs="Times New Roman"/>
                <w:color w:val="auto"/>
                <w:sz w:val="24"/>
                <w:highlight w:val="none"/>
              </w:rPr>
              <w:t>，本项目监督管理要求如下：</w:t>
            </w:r>
          </w:p>
          <w:p w14:paraId="7A50E1A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建设项目配套建设的固体废物污染环境防治设施应当与主体工程同时设计、同时施工、同时投入使用。建设项目的初步设计，应当按照环境保护设计规范的要求，落实防治固体废物污染环境和破坏生态的措施以及固体废物污染环境防治设施投资概算；</w:t>
            </w:r>
          </w:p>
          <w:p w14:paraId="3D17D4F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②收集、贮存、运输、利用、处置固体废物的单位和其他生产经营者，应当加强对相关设施、设备和场所的管理和维护，保证其正常运行和使用；</w:t>
            </w:r>
          </w:p>
          <w:p w14:paraId="310258B4">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③产生、收集、贮存、运输、利用、处置固体废物的单位和其他生产经营者，应当采取防扬散、防流失、防渗漏或者其他防止污染环境的措施，不得擅自倾倒、堆放、丢弃、遗撒固体废物。</w:t>
            </w:r>
          </w:p>
          <w:p w14:paraId="57F5E9A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一般工业固体废物管理台账制定指南（试行）》（2021年第82号），项目应建立工业固体废物管理台账，如实记录工业固体废物的种类、数量、流向、贮存、利用。处置等信息，可以实现工业固体废物可追溯、可查询的目的，推动企业提升固体废物管理水平。</w:t>
            </w:r>
          </w:p>
          <w:p w14:paraId="7C254AAD">
            <w:p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（2）危险固废管理要求</w:t>
            </w:r>
          </w:p>
          <w:p w14:paraId="0DD2243B">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w:t>
            </w:r>
            <w:r>
              <w:rPr>
                <w:rFonts w:hint="default" w:ascii="Times New Roman" w:hAnsi="Times New Roman" w:cs="Times New Roman"/>
                <w:b w:val="0"/>
                <w:bCs w:val="0"/>
                <w:color w:val="auto"/>
                <w:sz w:val="24"/>
                <w:szCs w:val="24"/>
                <w:highlight w:val="none"/>
                <w:lang w:eastAsia="zh-CN"/>
              </w:rPr>
              <w:t>《江苏省固体废物全过程环境监管工作意见的通知》（苏环办[2024]16号）</w:t>
            </w:r>
            <w:r>
              <w:rPr>
                <w:rFonts w:hint="default" w:ascii="Times New Roman" w:hAnsi="Times New Roman" w:cs="Times New Roman"/>
                <w:color w:val="auto"/>
                <w:sz w:val="24"/>
                <w:highlight w:val="none"/>
              </w:rPr>
              <w:t>《危险废物识别标志设置技术规范》（HJ 1276-2022），环评提出以下要求：</w:t>
            </w:r>
          </w:p>
          <w:p w14:paraId="2DDC6359">
            <w:pPr>
              <w:widowControl/>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贮存设施警示标志牌</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06"/>
              <w:gridCol w:w="4814"/>
            </w:tblGrid>
            <w:tr w14:paraId="25AE3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3406" w:type="dxa"/>
                  <w:vAlign w:val="center"/>
                </w:tcPr>
                <w:p w14:paraId="59ACF39F">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图案样式</w:t>
                  </w:r>
                </w:p>
              </w:tc>
              <w:tc>
                <w:tcPr>
                  <w:tcW w:w="4814" w:type="dxa"/>
                  <w:vAlign w:val="center"/>
                </w:tcPr>
                <w:p w14:paraId="225ECA42">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图案样式</w:t>
                  </w:r>
                </w:p>
              </w:tc>
            </w:tr>
            <w:tr w14:paraId="10EE8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06" w:type="dxa"/>
                  <w:vAlign w:val="center"/>
                </w:tcPr>
                <w:p w14:paraId="07782B8C">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drawing>
                      <wp:inline distT="0" distB="0" distL="114300" distR="114300">
                        <wp:extent cx="2024380" cy="2131695"/>
                        <wp:effectExtent l="0" t="0" r="4445" b="1905"/>
                        <wp:docPr id="16" name="图片 26" descr="8.危险废物贮存设施标志-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descr="8.危险废物贮存设施标志-竖版"/>
                                <pic:cNvPicPr>
                                  <a:picLocks noChangeAspect="1"/>
                                </pic:cNvPicPr>
                              </pic:nvPicPr>
                              <pic:blipFill>
                                <a:blip r:embed="rId9"/>
                                <a:stretch>
                                  <a:fillRect/>
                                </a:stretch>
                              </pic:blipFill>
                              <pic:spPr>
                                <a:xfrm>
                                  <a:off x="0" y="0"/>
                                  <a:ext cx="2024380" cy="2131695"/>
                                </a:xfrm>
                                <a:prstGeom prst="rect">
                                  <a:avLst/>
                                </a:prstGeom>
                                <a:noFill/>
                                <a:ln>
                                  <a:noFill/>
                                </a:ln>
                              </pic:spPr>
                            </pic:pic>
                          </a:graphicData>
                        </a:graphic>
                      </wp:inline>
                    </w:drawing>
                  </w:r>
                </w:p>
              </w:tc>
              <w:tc>
                <w:tcPr>
                  <w:tcW w:w="4814" w:type="dxa"/>
                  <w:vAlign w:val="center"/>
                </w:tcPr>
                <w:p w14:paraId="5B5F72F8">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drawing>
                      <wp:inline distT="0" distB="0" distL="114300" distR="114300">
                        <wp:extent cx="2914650" cy="2032000"/>
                        <wp:effectExtent l="0" t="0" r="0" b="6350"/>
                        <wp:docPr id="17" name="图片 27" descr="7.危险废物贮存设施标志-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7" descr="7.危险废物贮存设施标志-横版"/>
                                <pic:cNvPicPr>
                                  <a:picLocks noChangeAspect="1"/>
                                </pic:cNvPicPr>
                              </pic:nvPicPr>
                              <pic:blipFill>
                                <a:blip r:embed="rId10"/>
                                <a:stretch>
                                  <a:fillRect/>
                                </a:stretch>
                              </pic:blipFill>
                              <pic:spPr>
                                <a:xfrm>
                                  <a:off x="0" y="0"/>
                                  <a:ext cx="2914650" cy="2032000"/>
                                </a:xfrm>
                                <a:prstGeom prst="rect">
                                  <a:avLst/>
                                </a:prstGeom>
                                <a:noFill/>
                                <a:ln>
                                  <a:noFill/>
                                </a:ln>
                              </pic:spPr>
                            </pic:pic>
                          </a:graphicData>
                        </a:graphic>
                      </wp:inline>
                    </w:drawing>
                  </w:r>
                </w:p>
              </w:tc>
            </w:tr>
          </w:tbl>
          <w:p w14:paraId="1CAB2D95">
            <w:pPr>
              <w:widowControl/>
              <w:adjustRightInd w:val="0"/>
              <w:snapToGrid w:val="0"/>
              <w:jc w:val="center"/>
              <w:rPr>
                <w:rFonts w:hint="default" w:ascii="Times New Roman" w:hAnsi="Times New Roman" w:cs="Times New Roman"/>
                <w:b/>
                <w:bCs/>
                <w:color w:val="auto"/>
                <w:szCs w:val="32"/>
                <w:highlight w:val="none"/>
              </w:rPr>
            </w:pPr>
          </w:p>
          <w:p w14:paraId="3D5273A3">
            <w:pPr>
              <w:widowControl/>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szCs w:val="32"/>
                <w:highlight w:val="none"/>
              </w:rPr>
              <w:t>包装识别标签</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3989"/>
            </w:tblGrid>
            <w:tr w14:paraId="3CDBA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31" w:type="dxa"/>
                  <w:vAlign w:val="center"/>
                </w:tcPr>
                <w:p w14:paraId="66C1DA68">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图案样式</w:t>
                  </w:r>
                </w:p>
              </w:tc>
              <w:tc>
                <w:tcPr>
                  <w:tcW w:w="3989" w:type="dxa"/>
                  <w:vAlign w:val="center"/>
                </w:tcPr>
                <w:p w14:paraId="717B693C">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图案样式</w:t>
                  </w:r>
                </w:p>
              </w:tc>
            </w:tr>
            <w:tr w14:paraId="7628F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31" w:type="dxa"/>
                  <w:vAlign w:val="center"/>
                </w:tcPr>
                <w:p w14:paraId="7ACDDD87">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粘贴式标签：</w:t>
                  </w:r>
                </w:p>
                <w:p w14:paraId="0A16CDA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drawing>
                      <wp:inline distT="0" distB="0" distL="114300" distR="114300">
                        <wp:extent cx="1774190" cy="1774190"/>
                        <wp:effectExtent l="0" t="0" r="16510" b="16510"/>
                        <wp:docPr id="18" name="图片 29" descr="1.危险废物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descr="1.危险废物标签"/>
                                <pic:cNvPicPr>
                                  <a:picLocks noChangeAspect="1"/>
                                </pic:cNvPicPr>
                              </pic:nvPicPr>
                              <pic:blipFill>
                                <a:blip r:embed="rId11"/>
                                <a:stretch>
                                  <a:fillRect/>
                                </a:stretch>
                              </pic:blipFill>
                              <pic:spPr>
                                <a:xfrm>
                                  <a:off x="0" y="0"/>
                                  <a:ext cx="1774190" cy="1774190"/>
                                </a:xfrm>
                                <a:prstGeom prst="rect">
                                  <a:avLst/>
                                </a:prstGeom>
                                <a:noFill/>
                                <a:ln>
                                  <a:noFill/>
                                </a:ln>
                              </pic:spPr>
                            </pic:pic>
                          </a:graphicData>
                        </a:graphic>
                      </wp:inline>
                    </w:drawing>
                  </w:r>
                </w:p>
              </w:tc>
              <w:tc>
                <w:tcPr>
                  <w:tcW w:w="3989" w:type="dxa"/>
                  <w:vAlign w:val="center"/>
                </w:tcPr>
                <w:p w14:paraId="4156DA8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drawing>
                      <wp:inline distT="0" distB="0" distL="114300" distR="114300">
                        <wp:extent cx="1951990" cy="1972945"/>
                        <wp:effectExtent l="0" t="0" r="10160" b="8255"/>
                        <wp:docPr id="19" name="图片 30" descr="2.危险特性-腐蚀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0" descr="2.危险特性-腐蚀性"/>
                                <pic:cNvPicPr>
                                  <a:picLocks noChangeAspect="1"/>
                                </pic:cNvPicPr>
                              </pic:nvPicPr>
                              <pic:blipFill>
                                <a:blip r:embed="rId12"/>
                                <a:stretch>
                                  <a:fillRect/>
                                </a:stretch>
                              </pic:blipFill>
                              <pic:spPr>
                                <a:xfrm>
                                  <a:off x="0" y="0"/>
                                  <a:ext cx="1951990" cy="1972945"/>
                                </a:xfrm>
                                <a:prstGeom prst="rect">
                                  <a:avLst/>
                                </a:prstGeom>
                                <a:noFill/>
                                <a:ln>
                                  <a:noFill/>
                                </a:ln>
                              </pic:spPr>
                            </pic:pic>
                          </a:graphicData>
                        </a:graphic>
                      </wp:inline>
                    </w:drawing>
                  </w:r>
                </w:p>
              </w:tc>
            </w:tr>
            <w:tr w14:paraId="0216D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31" w:type="dxa"/>
                  <w:vAlign w:val="center"/>
                </w:tcPr>
                <w:p w14:paraId="1B4C98C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drawing>
                      <wp:inline distT="0" distB="0" distL="114300" distR="114300">
                        <wp:extent cx="2002790" cy="1851660"/>
                        <wp:effectExtent l="0" t="0" r="16510" b="15240"/>
                        <wp:docPr id="20" name="图片 31" descr="3.危险特性-毒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descr="3.危险特性-毒性"/>
                                <pic:cNvPicPr>
                                  <a:picLocks noChangeAspect="1"/>
                                </pic:cNvPicPr>
                              </pic:nvPicPr>
                              <pic:blipFill>
                                <a:blip r:embed="rId13"/>
                                <a:srcRect l="21409" r="21684"/>
                                <a:stretch>
                                  <a:fillRect/>
                                </a:stretch>
                              </pic:blipFill>
                              <pic:spPr>
                                <a:xfrm>
                                  <a:off x="0" y="0"/>
                                  <a:ext cx="2002790" cy="1851660"/>
                                </a:xfrm>
                                <a:prstGeom prst="rect">
                                  <a:avLst/>
                                </a:prstGeom>
                                <a:noFill/>
                                <a:ln>
                                  <a:noFill/>
                                </a:ln>
                              </pic:spPr>
                            </pic:pic>
                          </a:graphicData>
                        </a:graphic>
                      </wp:inline>
                    </w:drawing>
                  </w:r>
                </w:p>
              </w:tc>
              <w:tc>
                <w:tcPr>
                  <w:tcW w:w="3989" w:type="dxa"/>
                  <w:vAlign w:val="center"/>
                </w:tcPr>
                <w:p w14:paraId="0CDCCB97">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drawing>
                      <wp:inline distT="0" distB="0" distL="114300" distR="114300">
                        <wp:extent cx="2139315" cy="2000885"/>
                        <wp:effectExtent l="0" t="0" r="0" b="0"/>
                        <wp:docPr id="21" name="图片 32" descr="4.危险特性-易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2" descr="4.危险特性-易燃"/>
                                <pic:cNvPicPr>
                                  <a:picLocks noChangeAspect="1"/>
                                </pic:cNvPicPr>
                              </pic:nvPicPr>
                              <pic:blipFill>
                                <a:blip r:embed="rId14"/>
                                <a:stretch>
                                  <a:fillRect/>
                                </a:stretch>
                              </pic:blipFill>
                              <pic:spPr>
                                <a:xfrm>
                                  <a:off x="0" y="0"/>
                                  <a:ext cx="2139315" cy="2000885"/>
                                </a:xfrm>
                                <a:prstGeom prst="rect">
                                  <a:avLst/>
                                </a:prstGeom>
                                <a:noFill/>
                                <a:ln>
                                  <a:noFill/>
                                </a:ln>
                              </pic:spPr>
                            </pic:pic>
                          </a:graphicData>
                        </a:graphic>
                      </wp:inline>
                    </w:drawing>
                  </w:r>
                </w:p>
              </w:tc>
            </w:tr>
          </w:tbl>
          <w:p w14:paraId="603A69A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厂区应建固废分类收集制度，固废按一般固废、危险固废进行分类收集，同时将生活垃圾与工业固废进行分类收集。在厂房、办公区内设置垃圾收集桶用于收集生活垃圾；厂内设置一般固体废物暂存间收集暂存废边角料等；危险废物暂存间按《危险废物贮存污染控制标准》（GB 18597-2023）要求设置，应做到防漏、防渗，避免产生二次污染。</w:t>
            </w:r>
          </w:p>
          <w:p w14:paraId="0E00E7C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注：根据</w:t>
            </w:r>
            <w:r>
              <w:rPr>
                <w:rFonts w:hint="default" w:ascii="Times New Roman" w:hAnsi="Times New Roman" w:cs="Times New Roman"/>
                <w:b w:val="0"/>
                <w:bCs w:val="0"/>
                <w:color w:val="auto"/>
                <w:sz w:val="24"/>
                <w:szCs w:val="24"/>
                <w:highlight w:val="none"/>
                <w:lang w:eastAsia="zh-CN"/>
              </w:rPr>
              <w:t>《江苏省固体废物全过程环境监管工作意见的通知》（苏环办[2024]16号）</w:t>
            </w:r>
            <w:r>
              <w:rPr>
                <w:rFonts w:hint="default" w:ascii="Times New Roman" w:hAnsi="Times New Roman" w:cs="Times New Roman"/>
                <w:color w:val="auto"/>
                <w:sz w:val="24"/>
                <w:highlight w:val="none"/>
              </w:rPr>
              <w:t>要求，危险废物产生单位和经营单位均应在关键位置设置在线视频监控。</w:t>
            </w:r>
          </w:p>
          <w:p w14:paraId="7E71B731">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危险固废库设置要点：危险废物库内侧地面沿其四周，应设置泄露液体导流沟和收集坑，存放危险废物滴漏或容器泄漏的废液，防止其流到危险废物库外；地面用环氧树脂防腐防渗处理，危险废物库应安装废气收集装置，收集后的废气并入新建的废气处理系统，经二级活性炭处理后高空排放。</w:t>
            </w:r>
          </w:p>
          <w:p w14:paraId="72ECBF6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危险固废的暂存方案：建设单位收集危险废物后，暂放置于厂内新建危废库，废机油放在物料桶后盖上盖子再存放，同时作好危险废物情况的记录，记录上注明危险废物的名称、来源、数量、特性和包装容器的类别、入库日期、存放库位、废物出库日期及接收单位名称。定期交由有资质单位处理。</w:t>
            </w:r>
          </w:p>
          <w:p w14:paraId="12E2090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管理台账要点：根据“苏环办﹝20</w:t>
            </w:r>
            <w:r>
              <w:rPr>
                <w:rFonts w:hint="default" w:ascii="Times New Roman" w:hAnsi="Times New Roman" w:cs="Times New Roman"/>
                <w:color w:val="auto"/>
                <w:sz w:val="24"/>
                <w:highlight w:val="none"/>
                <w:lang w:val="en-US" w:eastAsia="zh-CN"/>
              </w:rPr>
              <w:t>24</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16</w:t>
            </w:r>
            <w:r>
              <w:rPr>
                <w:rFonts w:hint="default" w:ascii="Times New Roman" w:hAnsi="Times New Roman" w:cs="Times New Roman"/>
                <w:color w:val="auto"/>
                <w:sz w:val="24"/>
                <w:highlight w:val="none"/>
              </w:rPr>
              <w:t>号”，项目危险废物台账要做到但不限于以下几点：记录主要产品产量等基本生产信息；含有挥发性有机物原辅材料名称及其含量（使用说明书、物质安全说明书MSDS等，要求符合“国家及江苏省主要产品挥发性有机物含量限值标准目录”），采购量、使用量、库存量及废弃量，回收方式及回收量等；台账保存期限不少于三年。</w:t>
            </w:r>
          </w:p>
          <w:p w14:paraId="368EBF83">
            <w:p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）危险废物环境影响分析</w:t>
            </w:r>
          </w:p>
          <w:p w14:paraId="1CAEB37A">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1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①</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危险废物贮存场所（设施）环境影响分析</w:t>
            </w:r>
          </w:p>
          <w:p w14:paraId="2CB8CE29">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根据《危险废物贮存污染控制标准》（GB18597-2023），本项目危险废物贮存场所选址符合性见下表。</w:t>
            </w:r>
          </w:p>
          <w:p w14:paraId="412DBBA5">
            <w:pPr>
              <w:widowControl/>
              <w:jc w:val="center"/>
              <w:rPr>
                <w:rFonts w:hint="default" w:ascii="Times New Roman" w:hAnsi="Times New Roman" w:cs="Times New Roman"/>
                <w:color w:val="auto"/>
                <w:highlight w:val="none"/>
              </w:rPr>
            </w:pPr>
            <w:r>
              <w:rPr>
                <w:rFonts w:hint="default" w:ascii="Times New Roman" w:hAnsi="Times New Roman" w:cs="Times New Roman"/>
                <w:b/>
                <w:color w:val="auto"/>
                <w:kern w:val="0"/>
                <w:sz w:val="24"/>
                <w:highlight w:val="none"/>
                <w:lang w:bidi="ar"/>
              </w:rPr>
              <w:t>表4.19  固废利用处置方式评价表</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6"/>
              <w:gridCol w:w="5320"/>
              <w:gridCol w:w="1397"/>
            </w:tblGrid>
            <w:tr w14:paraId="12BA08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1405" w:type="dxa"/>
                  <w:vAlign w:val="center"/>
                </w:tcPr>
                <w:p w14:paraId="49408A61">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标准</w:t>
                  </w:r>
                </w:p>
              </w:tc>
              <w:tc>
                <w:tcPr>
                  <w:tcW w:w="5359" w:type="dxa"/>
                  <w:vAlign w:val="center"/>
                </w:tcPr>
                <w:p w14:paraId="547CDA35">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标准内容</w:t>
                  </w:r>
                </w:p>
              </w:tc>
              <w:tc>
                <w:tcPr>
                  <w:tcW w:w="1406" w:type="dxa"/>
                  <w:vAlign w:val="center"/>
                </w:tcPr>
                <w:p w14:paraId="6C81234F">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符合性分析</w:t>
                  </w:r>
                </w:p>
              </w:tc>
            </w:tr>
            <w:tr w14:paraId="4F5956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1405" w:type="dxa"/>
                  <w:vAlign w:val="center"/>
                </w:tcPr>
                <w:p w14:paraId="26CEA25A">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《危险废物贮存污染控制标准》（GB18597-2023）</w:t>
                  </w:r>
                </w:p>
              </w:tc>
              <w:tc>
                <w:tcPr>
                  <w:tcW w:w="5359" w:type="dxa"/>
                  <w:vAlign w:val="center"/>
                </w:tcPr>
                <w:p w14:paraId="3D171AF5">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①满足法律法规、规划和“三线一单”生态环境分区管控的要求，建设项目应依法进行环评；</w:t>
                  </w:r>
                </w:p>
                <w:p w14:paraId="164D4C60">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②不应在生态红线、永久基本农田和其他需要特别保护的区域内，不应建在溶洞区或易遭受洪水、滑坡、泥石流、潮汐等严重自然灾害影响的地区；</w:t>
                  </w:r>
                </w:p>
                <w:p w14:paraId="34C7F646">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③不应在江河、湖泊、运河、渠道、水库及其最高水位线以下的滩地和岸坡，以及法律法规禁止的地点；</w:t>
                  </w:r>
                </w:p>
                <w:p w14:paraId="4887A2F4">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④场址位置以及其与周边环境敏感目标的距离应依据环评文件确定。</w:t>
                  </w:r>
                </w:p>
              </w:tc>
              <w:tc>
                <w:tcPr>
                  <w:tcW w:w="1406" w:type="dxa"/>
                  <w:vAlign w:val="center"/>
                </w:tcPr>
                <w:p w14:paraId="498B3879">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根据附图2，本项目选址能够达到《危险废物贮存污染控制标准》中相关要求。</w:t>
                  </w:r>
                </w:p>
              </w:tc>
            </w:tr>
          </w:tbl>
          <w:p w14:paraId="1DC3674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产生的危险废物定期委托有资质单位处理，每年处理不少于1次。本项目危废均用密封桶装，危险废物库内无挥发性有机物产生，可不安装废气收集装置。项目新建危废库地面应当铺设防渗材料，并在门口内侧设立围堰，因此不会对项目周边水环境和土壤环境产生影响。</w:t>
            </w:r>
          </w:p>
          <w:p w14:paraId="045A7619">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2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②</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运输过程的环境影响分析</w:t>
            </w:r>
          </w:p>
          <w:p w14:paraId="707D1EF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环评要求建设单位就近选择危废处置单位，并按要求填写危险废物转移联单、签订委托处置合同，由危废处理公司负责运输和处理。托运过程中，车厢为密闭状态，不会对沿线环境敏感点产生影响，同时对运输路线的选择要尽量避开敏感点，减少对敏感点产生影响的风险。</w:t>
            </w:r>
          </w:p>
          <w:p w14:paraId="7613652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③危险发挥污染防治措施及经济可行性分析</w:t>
            </w:r>
          </w:p>
          <w:p w14:paraId="1E69FC7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本项目固体废物污染防治措施按照本次环评要求所提原则要求实施。</w:t>
            </w:r>
          </w:p>
          <w:p w14:paraId="405B1E3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A、暂存场所污染防治措施</w:t>
            </w:r>
          </w:p>
          <w:p w14:paraId="6C4E1DE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危废间设置“四防”(防风、防雨、防晒、防渗漏)，危废入库前要采用具有防腐、防渗功能的塑料袋收集存放于暂存库，库区地面做防渗，渗透系数小于1.0×10</w:t>
            </w:r>
            <w:r>
              <w:rPr>
                <w:rFonts w:hint="default" w:ascii="Times New Roman" w:hAnsi="Times New Roman" w:cs="Times New Roman"/>
                <w:color w:val="auto"/>
                <w:sz w:val="24"/>
                <w:highlight w:val="none"/>
                <w:vertAlign w:val="superscript"/>
              </w:rPr>
              <w:t>-10</w:t>
            </w:r>
            <w:r>
              <w:rPr>
                <w:rFonts w:hint="default" w:ascii="Times New Roman" w:hAnsi="Times New Roman" w:cs="Times New Roman"/>
                <w:color w:val="auto"/>
                <w:sz w:val="24"/>
                <w:highlight w:val="none"/>
              </w:rPr>
              <w:t>cm/s，库区设置相应的警示标识。</w:t>
            </w:r>
          </w:p>
          <w:p w14:paraId="32E07CE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B、厂内的收集、运输过程的污染防治措施</w:t>
            </w:r>
          </w:p>
          <w:p w14:paraId="46F6F69B">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公司制定危险废物厂内收集、运输的操作手册，指定专人负责管理。</w:t>
            </w:r>
          </w:p>
          <w:p w14:paraId="2FD5D25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综上所述，在落实好一般固废固废及危险固废均合规处置的情况下，本项目固体废物综合处置率达100%，不会造成二次污染，不会对周围环境造成影响，固废环保措施是可行的。</w:t>
            </w:r>
          </w:p>
          <w:p w14:paraId="3E0E2918">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5、地下水、土壤</w:t>
            </w:r>
          </w:p>
          <w:p w14:paraId="1ECBAC3B">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本项目是在现在厂区内进行建设，厂区地面已用钢筋混凝土全部硬化，厚度大于20cm，且现场查看无明显破损带（或区），且地面均采用防腐涂层，因此生产过程不会对土地和地下水造成污染的途径。</w:t>
            </w:r>
          </w:p>
          <w:p w14:paraId="06297B2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考虑到项目存在对土壤和地下水污染的风险，要求对项目区域采取“分区防渗”的措施，主要为：</w:t>
            </w:r>
          </w:p>
          <w:p w14:paraId="25A93552">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重点防渗的区域：生产厂房、</w:t>
            </w:r>
            <w:r>
              <w:rPr>
                <w:rFonts w:hint="default" w:ascii="Times New Roman" w:hAnsi="Times New Roman" w:cs="Times New Roman"/>
                <w:color w:val="auto"/>
                <w:sz w:val="24"/>
                <w:highlight w:val="none"/>
                <w:lang w:val="en-US" w:eastAsia="zh-CN"/>
              </w:rPr>
              <w:t>危废暂存</w:t>
            </w:r>
            <w:r>
              <w:rPr>
                <w:rFonts w:hint="default" w:ascii="Times New Roman" w:hAnsi="Times New Roman" w:cs="Times New Roman"/>
                <w:color w:val="auto"/>
                <w:sz w:val="24"/>
                <w:highlight w:val="none"/>
              </w:rPr>
              <w:t>库、</w:t>
            </w:r>
            <w:r>
              <w:rPr>
                <w:rFonts w:hint="default" w:ascii="Times New Roman" w:hAnsi="Times New Roman" w:cs="Times New Roman"/>
                <w:color w:val="auto"/>
                <w:sz w:val="24"/>
                <w:highlight w:val="none"/>
                <w:lang w:val="en-US" w:eastAsia="zh-CN"/>
              </w:rPr>
              <w:t>原辅料</w:t>
            </w:r>
            <w:r>
              <w:rPr>
                <w:rFonts w:hint="default" w:ascii="Times New Roman" w:hAnsi="Times New Roman" w:cs="Times New Roman"/>
                <w:color w:val="auto"/>
                <w:sz w:val="24"/>
                <w:highlight w:val="none"/>
              </w:rPr>
              <w:t>仓库。</w:t>
            </w:r>
          </w:p>
          <w:p w14:paraId="15A1C06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项目一般防渗区为：其它区域。</w:t>
            </w:r>
          </w:p>
          <w:p w14:paraId="12D58912">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重点防渗区：在现有混凝土地面的基础上，增加环氧树脂防腐防渗层，从而使防渗层渗透系数≤10</w:t>
            </w:r>
            <w:r>
              <w:rPr>
                <w:rFonts w:hint="default" w:ascii="Times New Roman" w:hAnsi="Times New Roman" w:cs="Times New Roman"/>
                <w:color w:val="auto"/>
                <w:sz w:val="24"/>
                <w:highlight w:val="none"/>
                <w:vertAlign w:val="superscript"/>
              </w:rPr>
              <w:t>-7</w:t>
            </w:r>
            <w:r>
              <w:rPr>
                <w:rFonts w:hint="default" w:ascii="Times New Roman" w:hAnsi="Times New Roman" w:cs="Times New Roman"/>
                <w:color w:val="auto"/>
                <w:sz w:val="24"/>
                <w:highlight w:val="none"/>
              </w:rPr>
              <w:t>cm/s。</w:t>
            </w:r>
          </w:p>
          <w:p w14:paraId="5F3C99D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一般防渗区：保持现状（已有采取20cm水泥硬化）。</w:t>
            </w:r>
          </w:p>
          <w:p w14:paraId="0D084C14">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根据标准，在危废库内采取设置导流沟、收集池等措施，防止危险废物库内废液流到库房外，造成土壤和地下水污染。</w:t>
            </w:r>
          </w:p>
          <w:p w14:paraId="091E692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采取以上措施后，可有效控制项目对地下水和土壤的影响，可不单独进行土壤和地下水的跟踪监测。</w:t>
            </w:r>
          </w:p>
          <w:p w14:paraId="719CD8D2">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在突发环境事故情况下，项目土壤和地下水跟踪监测计划见表4</w:t>
            </w:r>
            <w:r>
              <w:rPr>
                <w:rFonts w:hint="eastAsia" w:cs="Times New Roman"/>
                <w:color w:val="auto"/>
                <w:kern w:val="0"/>
                <w:sz w:val="24"/>
                <w:szCs w:val="24"/>
                <w:lang w:val="en-US" w:eastAsia="zh-CN" w:bidi="ar"/>
              </w:rPr>
              <w:t>.20</w:t>
            </w:r>
            <w:r>
              <w:rPr>
                <w:rFonts w:hint="default" w:ascii="Times New Roman" w:hAnsi="Times New Roman" w:eastAsia="宋体" w:cs="Times New Roman"/>
                <w:color w:val="auto"/>
                <w:kern w:val="0"/>
                <w:sz w:val="24"/>
                <w:szCs w:val="24"/>
                <w:lang w:val="en-US" w:eastAsia="zh-CN" w:bidi="ar"/>
              </w:rPr>
              <w:t>。</w:t>
            </w:r>
          </w:p>
          <w:p w14:paraId="34AD7034">
            <w:pPr>
              <w:pStyle w:val="37"/>
              <w:bidi w:val="0"/>
              <w:rPr>
                <w:rFonts w:hint="default"/>
              </w:rPr>
            </w:pPr>
            <w:r>
              <w:rPr>
                <w:rFonts w:hint="default"/>
                <w:lang w:val="en-US" w:eastAsia="zh-CN"/>
              </w:rPr>
              <w:t>表4.20</w:t>
            </w:r>
            <w:r>
              <w:rPr>
                <w:rFonts w:hint="eastAsia"/>
                <w:lang w:val="en-US" w:eastAsia="zh-CN"/>
              </w:rPr>
              <w:t xml:space="preserve"> </w:t>
            </w:r>
            <w:r>
              <w:rPr>
                <w:rFonts w:hint="default"/>
              </w:rPr>
              <w:t xml:space="preserve"> </w:t>
            </w:r>
            <w:r>
              <w:rPr>
                <w:rFonts w:hint="default"/>
                <w:lang w:val="en-US" w:eastAsia="zh-CN"/>
              </w:rPr>
              <w:t>土壤和地下水跟踪监测计划</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124"/>
              <w:gridCol w:w="1122"/>
              <w:gridCol w:w="1145"/>
              <w:gridCol w:w="3768"/>
            </w:tblGrid>
            <w:tr w14:paraId="653DF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88" w:type="pct"/>
                  <w:noWrap w:val="0"/>
                  <w:vAlign w:val="center"/>
                </w:tcPr>
                <w:p w14:paraId="54762306">
                  <w:pPr>
                    <w:pStyle w:val="46"/>
                    <w:keepNext w:val="0"/>
                    <w:keepLines w:val="0"/>
                    <w:pageBreakBefore w:val="0"/>
                    <w:widowControl w:val="0"/>
                    <w:kinsoku/>
                    <w:wordWrap/>
                    <w:overflowPunct/>
                    <w:topLinePunct w:val="0"/>
                    <w:autoSpaceDE w:val="0"/>
                    <w:autoSpaceDN w:val="0"/>
                    <w:bidi w:val="0"/>
                    <w:adjustRightInd w:val="0"/>
                    <w:snapToGrid w:val="0"/>
                    <w:spacing w:line="240" w:lineRule="auto"/>
                    <w:ind w:right="0"/>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类型</w:t>
                  </w:r>
                </w:p>
              </w:tc>
              <w:tc>
                <w:tcPr>
                  <w:tcW w:w="692" w:type="pct"/>
                  <w:noWrap w:val="0"/>
                  <w:vAlign w:val="center"/>
                </w:tcPr>
                <w:p w14:paraId="66FF4104">
                  <w:pPr>
                    <w:pStyle w:val="46"/>
                    <w:keepNext w:val="0"/>
                    <w:keepLines w:val="0"/>
                    <w:pageBreakBefore w:val="0"/>
                    <w:widowControl w:val="0"/>
                    <w:kinsoku/>
                    <w:wordWrap/>
                    <w:overflowPunct/>
                    <w:topLinePunct w:val="0"/>
                    <w:autoSpaceDE w:val="0"/>
                    <w:autoSpaceDN w:val="0"/>
                    <w:bidi w:val="0"/>
                    <w:adjustRightInd w:val="0"/>
                    <w:snapToGrid w:val="0"/>
                    <w:spacing w:line="240" w:lineRule="auto"/>
                    <w:ind w:right="0"/>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监测因子</w:t>
                  </w:r>
                </w:p>
              </w:tc>
              <w:tc>
                <w:tcPr>
                  <w:tcW w:w="691" w:type="pct"/>
                  <w:noWrap w:val="0"/>
                  <w:vAlign w:val="center"/>
                </w:tcPr>
                <w:p w14:paraId="779B6DC0">
                  <w:pPr>
                    <w:pStyle w:val="46"/>
                    <w:keepNext w:val="0"/>
                    <w:keepLines w:val="0"/>
                    <w:pageBreakBefore w:val="0"/>
                    <w:widowControl w:val="0"/>
                    <w:kinsoku/>
                    <w:wordWrap/>
                    <w:overflowPunct/>
                    <w:topLinePunct w:val="0"/>
                    <w:autoSpaceDE w:val="0"/>
                    <w:autoSpaceDN w:val="0"/>
                    <w:bidi w:val="0"/>
                    <w:adjustRightInd w:val="0"/>
                    <w:snapToGrid w:val="0"/>
                    <w:spacing w:line="240" w:lineRule="auto"/>
                    <w:ind w:right="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监测点位</w:t>
                  </w:r>
                </w:p>
              </w:tc>
              <w:tc>
                <w:tcPr>
                  <w:tcW w:w="705" w:type="pct"/>
                  <w:noWrap w:val="0"/>
                  <w:vAlign w:val="center"/>
                </w:tcPr>
                <w:p w14:paraId="340E2092">
                  <w:pPr>
                    <w:pStyle w:val="46"/>
                    <w:keepNext w:val="0"/>
                    <w:keepLines w:val="0"/>
                    <w:pageBreakBefore w:val="0"/>
                    <w:widowControl w:val="0"/>
                    <w:kinsoku/>
                    <w:wordWrap/>
                    <w:overflowPunct/>
                    <w:topLinePunct w:val="0"/>
                    <w:autoSpaceDE w:val="0"/>
                    <w:autoSpaceDN w:val="0"/>
                    <w:bidi w:val="0"/>
                    <w:adjustRightInd w:val="0"/>
                    <w:snapToGrid w:val="0"/>
                    <w:spacing w:line="240" w:lineRule="auto"/>
                    <w:ind w:right="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监测频次</w:t>
                  </w:r>
                </w:p>
              </w:tc>
              <w:tc>
                <w:tcPr>
                  <w:tcW w:w="2321" w:type="pct"/>
                  <w:noWrap w:val="0"/>
                  <w:vAlign w:val="center"/>
                </w:tcPr>
                <w:p w14:paraId="5A8D562A">
                  <w:pPr>
                    <w:pStyle w:val="46"/>
                    <w:keepNext w:val="0"/>
                    <w:keepLines w:val="0"/>
                    <w:pageBreakBefore w:val="0"/>
                    <w:widowControl w:val="0"/>
                    <w:kinsoku/>
                    <w:wordWrap/>
                    <w:overflowPunct/>
                    <w:topLinePunct w:val="0"/>
                    <w:autoSpaceDE w:val="0"/>
                    <w:autoSpaceDN w:val="0"/>
                    <w:bidi w:val="0"/>
                    <w:adjustRightInd w:val="0"/>
                    <w:snapToGrid w:val="0"/>
                    <w:spacing w:line="240" w:lineRule="auto"/>
                    <w:ind w:right="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执行标准</w:t>
                  </w:r>
                </w:p>
              </w:tc>
            </w:tr>
            <w:tr w14:paraId="262BE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88" w:type="pct"/>
                  <w:noWrap w:val="0"/>
                  <w:vAlign w:val="center"/>
                </w:tcPr>
                <w:p w14:paraId="2DF2D4E0">
                  <w:pPr>
                    <w:pStyle w:val="47"/>
                    <w:keepNext w:val="0"/>
                    <w:keepLines w:val="0"/>
                    <w:pageBreakBefore w:val="0"/>
                    <w:widowControl w:val="0"/>
                    <w:kinsoku/>
                    <w:wordWrap/>
                    <w:overflowPunct/>
                    <w:topLinePunct w:val="0"/>
                    <w:autoSpaceDE w:val="0"/>
                    <w:autoSpaceDN w:val="0"/>
                    <w:bidi w:val="0"/>
                    <w:adjustRightInd w:val="0"/>
                    <w:snapToGrid w:val="0"/>
                    <w:spacing w:before="0" w:after="0" w:line="240" w:lineRule="auto"/>
                    <w:ind w:right="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地下水</w:t>
                  </w:r>
                </w:p>
              </w:tc>
              <w:tc>
                <w:tcPr>
                  <w:tcW w:w="692" w:type="pct"/>
                  <w:vMerge w:val="restart"/>
                  <w:noWrap w:val="0"/>
                  <w:vAlign w:val="center"/>
                </w:tcPr>
                <w:p w14:paraId="3240B929">
                  <w:pPr>
                    <w:keepNext w:val="0"/>
                    <w:keepLines w:val="0"/>
                    <w:pageBreakBefore w:val="0"/>
                    <w:widowControl/>
                    <w:kinsoku/>
                    <w:wordWrap/>
                    <w:overflowPunct/>
                    <w:topLinePunct w:val="0"/>
                    <w:autoSpaceDE w:val="0"/>
                    <w:autoSpaceDN w:val="0"/>
                    <w:bidi w:val="0"/>
                    <w:adjustRightInd w:val="0"/>
                    <w:snapToGrid w:val="0"/>
                    <w:spacing w:before="0" w:after="0" w:line="240" w:lineRule="auto"/>
                    <w:ind w:right="0"/>
                    <w:jc w:val="left"/>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pH+</w:t>
                  </w:r>
                  <w:r>
                    <w:rPr>
                      <w:rFonts w:hint="default" w:ascii="Times New Roman" w:hAnsi="Times New Roman" w:cs="Times New Roman"/>
                      <w:color w:val="auto"/>
                      <w:kern w:val="0"/>
                      <w:sz w:val="21"/>
                      <w:szCs w:val="21"/>
                      <w:lang w:val="en-US" w:eastAsia="zh-CN" w:bidi="ar"/>
                    </w:rPr>
                    <w:t>石油类、</w:t>
                  </w:r>
                  <w:r>
                    <w:rPr>
                      <w:rFonts w:hint="default" w:ascii="Times New Roman" w:hAnsi="Times New Roman" w:eastAsia="宋体" w:cs="Times New Roman"/>
                      <w:color w:val="auto"/>
                      <w:kern w:val="0"/>
                      <w:sz w:val="21"/>
                      <w:szCs w:val="21"/>
                      <w:lang w:val="en-US" w:eastAsia="zh-CN" w:bidi="ar"/>
                    </w:rPr>
                    <w:t>土壤基本因子45项</w:t>
                  </w:r>
                </w:p>
              </w:tc>
              <w:tc>
                <w:tcPr>
                  <w:tcW w:w="691" w:type="pct"/>
                  <w:vMerge w:val="restart"/>
                  <w:noWrap w:val="0"/>
                  <w:vAlign w:val="center"/>
                </w:tcPr>
                <w:p w14:paraId="330DD74D">
                  <w:pPr>
                    <w:pStyle w:val="47"/>
                    <w:keepNext w:val="0"/>
                    <w:keepLines w:val="0"/>
                    <w:pageBreakBefore w:val="0"/>
                    <w:widowControl w:val="0"/>
                    <w:kinsoku/>
                    <w:wordWrap/>
                    <w:overflowPunct/>
                    <w:topLinePunct w:val="0"/>
                    <w:autoSpaceDE w:val="0"/>
                    <w:autoSpaceDN w:val="0"/>
                    <w:bidi w:val="0"/>
                    <w:adjustRightInd w:val="0"/>
                    <w:snapToGrid w:val="0"/>
                    <w:spacing w:before="0" w:after="0" w:line="240" w:lineRule="auto"/>
                    <w:ind w:right="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事故区域</w:t>
                  </w:r>
                </w:p>
              </w:tc>
              <w:tc>
                <w:tcPr>
                  <w:tcW w:w="705" w:type="pct"/>
                  <w:vMerge w:val="restart"/>
                  <w:noWrap w:val="0"/>
                  <w:vAlign w:val="center"/>
                </w:tcPr>
                <w:p w14:paraId="697BB851">
                  <w:pPr>
                    <w:pStyle w:val="47"/>
                    <w:keepNext w:val="0"/>
                    <w:keepLines w:val="0"/>
                    <w:pageBreakBefore w:val="0"/>
                    <w:kinsoku/>
                    <w:wordWrap/>
                    <w:overflowPunct/>
                    <w:topLinePunct w:val="0"/>
                    <w:bidi w:val="0"/>
                    <w:snapToGrid w:val="0"/>
                    <w:spacing w:before="0" w:after="0" w:line="240" w:lineRule="auto"/>
                    <w:ind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必要时</w:t>
                  </w:r>
                  <w:r>
                    <w:rPr>
                      <w:rFonts w:hint="default" w:ascii="Times New Roman" w:hAnsi="Times New Roman" w:eastAsia="宋体" w:cs="Times New Roman"/>
                      <w:color w:val="auto"/>
                      <w:sz w:val="21"/>
                      <w:szCs w:val="21"/>
                      <w:vertAlign w:val="superscript"/>
                      <w:lang w:val="en-US" w:eastAsia="zh-CN"/>
                    </w:rPr>
                    <w:t>[1]</w:t>
                  </w:r>
                </w:p>
              </w:tc>
              <w:tc>
                <w:tcPr>
                  <w:tcW w:w="2321" w:type="pct"/>
                  <w:noWrap w:val="0"/>
                  <w:vAlign w:val="center"/>
                </w:tcPr>
                <w:p w14:paraId="04B089D3">
                  <w:pPr>
                    <w:keepNext w:val="0"/>
                    <w:keepLines w:val="0"/>
                    <w:widowControl/>
                    <w:suppressLineNumbers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《地下水质量标准》（GB/T14848-2017）IV类标准</w:t>
                  </w:r>
                </w:p>
              </w:tc>
            </w:tr>
            <w:tr w14:paraId="4208C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88" w:type="pct"/>
                  <w:noWrap w:val="0"/>
                  <w:vAlign w:val="center"/>
                </w:tcPr>
                <w:p w14:paraId="2D74F09D">
                  <w:pPr>
                    <w:pStyle w:val="47"/>
                    <w:keepNext w:val="0"/>
                    <w:keepLines w:val="0"/>
                    <w:pageBreakBefore w:val="0"/>
                    <w:widowControl w:val="0"/>
                    <w:kinsoku/>
                    <w:wordWrap/>
                    <w:overflowPunct/>
                    <w:topLinePunct w:val="0"/>
                    <w:autoSpaceDE w:val="0"/>
                    <w:autoSpaceDN w:val="0"/>
                    <w:bidi w:val="0"/>
                    <w:adjustRightInd w:val="0"/>
                    <w:snapToGrid w:val="0"/>
                    <w:spacing w:before="0" w:after="0" w:line="240" w:lineRule="auto"/>
                    <w:ind w:right="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土壤</w:t>
                  </w:r>
                </w:p>
              </w:tc>
              <w:tc>
                <w:tcPr>
                  <w:tcW w:w="692" w:type="pct"/>
                  <w:vMerge w:val="continue"/>
                  <w:noWrap w:val="0"/>
                  <w:vAlign w:val="center"/>
                </w:tcPr>
                <w:p w14:paraId="3615DC66">
                  <w:pPr>
                    <w:pStyle w:val="47"/>
                    <w:keepNext w:val="0"/>
                    <w:keepLines w:val="0"/>
                    <w:pageBreakBefore w:val="0"/>
                    <w:widowControl w:val="0"/>
                    <w:kinsoku/>
                    <w:wordWrap/>
                    <w:overflowPunct/>
                    <w:topLinePunct w:val="0"/>
                    <w:autoSpaceDE w:val="0"/>
                    <w:autoSpaceDN w:val="0"/>
                    <w:bidi w:val="0"/>
                    <w:adjustRightInd w:val="0"/>
                    <w:snapToGrid w:val="0"/>
                    <w:spacing w:before="0" w:after="0" w:line="240" w:lineRule="auto"/>
                    <w:ind w:right="0"/>
                    <w:jc w:val="center"/>
                    <w:textAlignment w:val="baseline"/>
                    <w:rPr>
                      <w:rFonts w:hint="default" w:ascii="Times New Roman" w:hAnsi="Times New Roman" w:eastAsia="宋体" w:cs="Times New Roman"/>
                      <w:color w:val="auto"/>
                      <w:sz w:val="21"/>
                      <w:szCs w:val="21"/>
                    </w:rPr>
                  </w:pPr>
                </w:p>
              </w:tc>
              <w:tc>
                <w:tcPr>
                  <w:tcW w:w="691" w:type="pct"/>
                  <w:vMerge w:val="continue"/>
                  <w:noWrap w:val="0"/>
                  <w:vAlign w:val="center"/>
                </w:tcPr>
                <w:p w14:paraId="74386691">
                  <w:pPr>
                    <w:pStyle w:val="47"/>
                    <w:keepNext w:val="0"/>
                    <w:keepLines w:val="0"/>
                    <w:pageBreakBefore w:val="0"/>
                    <w:widowControl w:val="0"/>
                    <w:kinsoku/>
                    <w:wordWrap/>
                    <w:overflowPunct/>
                    <w:topLinePunct w:val="0"/>
                    <w:autoSpaceDE w:val="0"/>
                    <w:autoSpaceDN w:val="0"/>
                    <w:bidi w:val="0"/>
                    <w:adjustRightInd w:val="0"/>
                    <w:snapToGrid w:val="0"/>
                    <w:spacing w:before="0" w:after="0" w:line="240" w:lineRule="auto"/>
                    <w:ind w:right="0"/>
                    <w:jc w:val="center"/>
                    <w:textAlignment w:val="baseline"/>
                    <w:rPr>
                      <w:rFonts w:hint="default" w:ascii="Times New Roman" w:hAnsi="Times New Roman" w:eastAsia="宋体" w:cs="Times New Roman"/>
                      <w:color w:val="auto"/>
                      <w:sz w:val="21"/>
                      <w:szCs w:val="21"/>
                    </w:rPr>
                  </w:pPr>
                </w:p>
              </w:tc>
              <w:tc>
                <w:tcPr>
                  <w:tcW w:w="705" w:type="pct"/>
                  <w:vMerge w:val="continue"/>
                  <w:noWrap w:val="0"/>
                  <w:vAlign w:val="center"/>
                </w:tcPr>
                <w:p w14:paraId="6CCC3515">
                  <w:pPr>
                    <w:pStyle w:val="47"/>
                    <w:keepNext w:val="0"/>
                    <w:keepLines w:val="0"/>
                    <w:pageBreakBefore w:val="0"/>
                    <w:kinsoku/>
                    <w:wordWrap/>
                    <w:overflowPunct/>
                    <w:topLinePunct w:val="0"/>
                    <w:bidi w:val="0"/>
                    <w:snapToGrid w:val="0"/>
                    <w:spacing w:before="0" w:after="0" w:line="240" w:lineRule="auto"/>
                    <w:ind w:right="0"/>
                    <w:jc w:val="center"/>
                    <w:rPr>
                      <w:rFonts w:hint="default" w:ascii="Times New Roman" w:hAnsi="Times New Roman" w:eastAsia="宋体" w:cs="Times New Roman"/>
                      <w:color w:val="auto"/>
                      <w:sz w:val="21"/>
                      <w:szCs w:val="21"/>
                    </w:rPr>
                  </w:pPr>
                </w:p>
              </w:tc>
              <w:tc>
                <w:tcPr>
                  <w:tcW w:w="2321" w:type="pct"/>
                  <w:noWrap w:val="0"/>
                  <w:vAlign w:val="center"/>
                </w:tcPr>
                <w:p w14:paraId="695B95A3">
                  <w:pPr>
                    <w:widowControl/>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《土壤环境质量 建设用地土壤污染风险管控标准》（GB36600-2018）中的第二类建设用地筛选值</w:t>
                  </w:r>
                </w:p>
              </w:tc>
            </w:tr>
          </w:tbl>
          <w:p w14:paraId="51F48D0C">
            <w:pPr>
              <w:keepNext w:val="0"/>
              <w:keepLines w:val="0"/>
              <w:widowControl/>
              <w:suppressLineNumbers w:val="0"/>
              <w:jc w:val="left"/>
              <w:rPr>
                <w:rFonts w:hint="default" w:ascii="Times New Roman" w:hAnsi="Times New Roman" w:cs="Times New Roman"/>
                <w:color w:val="auto"/>
              </w:rPr>
            </w:pPr>
            <w:r>
              <w:rPr>
                <w:rFonts w:hint="default" w:ascii="Times New Roman" w:hAnsi="Times New Roman" w:eastAsia="宋体" w:cs="Times New Roman"/>
                <w:color w:val="auto"/>
                <w:kern w:val="0"/>
                <w:sz w:val="21"/>
                <w:szCs w:val="21"/>
                <w:lang w:val="en-US" w:eastAsia="zh-CN" w:bidi="ar"/>
              </w:rPr>
              <w:t>注：[1]必要时是指危险废物发生事故排放，立即对事故区域进行应急处置，在处置完成后，对事故区域进行监测。</w:t>
            </w:r>
          </w:p>
          <w:p w14:paraId="29F0DFA4">
            <w:pPr>
              <w:adjustRightInd w:val="0"/>
              <w:snapToGri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6、生态</w:t>
            </w:r>
          </w:p>
          <w:p w14:paraId="6B4A6B8A">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本项目不涉及生态影响，可不分析。</w:t>
            </w:r>
          </w:p>
          <w:p w14:paraId="680F4D68">
            <w:pPr>
              <w:spacing w:line="360" w:lineRule="auto"/>
              <w:ind w:right="105" w:rightChars="50" w:firstLine="482" w:firstLineChars="200"/>
              <w:jc w:val="left"/>
              <w:rPr>
                <w:rFonts w:hint="default" w:ascii="Times New Roman" w:hAnsi="Times New Roman" w:eastAsia="新宋体" w:cs="Times New Roman"/>
                <w:b/>
                <w:bCs/>
                <w:color w:val="auto"/>
                <w:sz w:val="24"/>
                <w:highlight w:val="none"/>
              </w:rPr>
            </w:pPr>
            <w:r>
              <w:rPr>
                <w:rFonts w:hint="default" w:ascii="Times New Roman" w:hAnsi="Times New Roman" w:eastAsia="新宋体" w:cs="Times New Roman"/>
                <w:b/>
                <w:bCs/>
                <w:color w:val="auto"/>
                <w:sz w:val="24"/>
                <w:highlight w:val="none"/>
              </w:rPr>
              <w:t>7、环境风险</w:t>
            </w:r>
          </w:p>
          <w:p w14:paraId="08C6498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国家环境保护总局《关于进一步加强环境影响评价管理防范环境风险的通知》（环发[2012]77号）、《关于切实加强风险防范严格环境影响评价管理的通知》（环发[2012]98号）、《关于印发江苏省环境影响评价文件环境应急相关内容编制要点的通知》（苏环办[2022]338号）和《建设项目环境影响报告表编制技术指南（污染影响类）（试行），环境风险评价，要明确有毒有害和易燃易爆等危险物质和风险源分布情况及可能影响途径，并提出相应环境风险防范措施。相关内容分析如下：</w:t>
            </w:r>
          </w:p>
          <w:p w14:paraId="61DD7FF1">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（1）风险识别</w:t>
            </w:r>
          </w:p>
          <w:p w14:paraId="4CF48C8F">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根据《建设项目环境风险评价技术导则》（HJ169-2018），风险源是指存在物质或能量意外释放，并可能产生环境危害的源。</w:t>
            </w:r>
          </w:p>
          <w:p w14:paraId="57E2508C">
            <w:pPr>
              <w:pStyle w:val="37"/>
              <w:rPr>
                <w:rFonts w:hint="default" w:ascii="Times New Roman" w:hAnsi="Times New Roman" w:cs="Times New Roman"/>
                <w:color w:val="auto"/>
                <w:highlight w:val="none"/>
              </w:rPr>
            </w:pPr>
            <w:r>
              <w:rPr>
                <w:rFonts w:hint="default" w:ascii="Times New Roman" w:hAnsi="Times New Roman" w:cs="Times New Roman"/>
                <w:color w:val="auto"/>
                <w:highlight w:val="none"/>
              </w:rPr>
              <w:t>表4.2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  风险物质分布情况</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149"/>
              <w:gridCol w:w="1138"/>
              <w:gridCol w:w="2594"/>
              <w:gridCol w:w="2594"/>
            </w:tblGrid>
            <w:tr w14:paraId="0E8EE0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3" w:type="pct"/>
                  <w:tcMar>
                    <w:left w:w="57" w:type="dxa"/>
                    <w:right w:w="57" w:type="dxa"/>
                  </w:tcMar>
                  <w:vAlign w:val="center"/>
                </w:tcPr>
                <w:p w14:paraId="7565EDB2">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708" w:type="pct"/>
                  <w:tcMar>
                    <w:left w:w="57" w:type="dxa"/>
                    <w:right w:w="57" w:type="dxa"/>
                  </w:tcMar>
                  <w:vAlign w:val="center"/>
                </w:tcPr>
                <w:p w14:paraId="4627381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物质名称</w:t>
                  </w:r>
                </w:p>
              </w:tc>
              <w:tc>
                <w:tcPr>
                  <w:tcW w:w="701" w:type="pct"/>
                  <w:vAlign w:val="center"/>
                </w:tcPr>
                <w:p w14:paraId="48C9D3B0">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存放位置</w:t>
                  </w:r>
                </w:p>
              </w:tc>
              <w:tc>
                <w:tcPr>
                  <w:tcW w:w="1598" w:type="pct"/>
                  <w:vAlign w:val="center"/>
                </w:tcPr>
                <w:p w14:paraId="123CB408">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环境风险类型</w:t>
                  </w:r>
                </w:p>
              </w:tc>
              <w:tc>
                <w:tcPr>
                  <w:tcW w:w="1598" w:type="pct"/>
                  <w:vAlign w:val="center"/>
                </w:tcPr>
                <w:p w14:paraId="15C51784">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可能影响途径</w:t>
                  </w:r>
                </w:p>
              </w:tc>
            </w:tr>
            <w:tr w14:paraId="072A83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3" w:type="pct"/>
                  <w:tcMar>
                    <w:left w:w="57" w:type="dxa"/>
                    <w:right w:w="57" w:type="dxa"/>
                  </w:tcMar>
                  <w:vAlign w:val="center"/>
                </w:tcPr>
                <w:p w14:paraId="0663334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708" w:type="pct"/>
                  <w:tcMar>
                    <w:left w:w="57" w:type="dxa"/>
                    <w:right w:w="57" w:type="dxa"/>
                  </w:tcMar>
                  <w:vAlign w:val="center"/>
                </w:tcPr>
                <w:p w14:paraId="04867DA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w:t>
                  </w:r>
                </w:p>
              </w:tc>
              <w:tc>
                <w:tcPr>
                  <w:tcW w:w="701" w:type="pct"/>
                  <w:vAlign w:val="center"/>
                </w:tcPr>
                <w:p w14:paraId="114C079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危废</w:t>
                  </w:r>
                  <w:r>
                    <w:rPr>
                      <w:rFonts w:hint="default" w:ascii="Times New Roman" w:hAnsi="Times New Roman" w:cs="Times New Roman"/>
                      <w:color w:val="auto"/>
                      <w:highlight w:val="none"/>
                      <w:lang w:val="en-US" w:eastAsia="zh-CN"/>
                    </w:rPr>
                    <w:t>暂存</w:t>
                  </w:r>
                  <w:r>
                    <w:rPr>
                      <w:rFonts w:hint="default" w:ascii="Times New Roman" w:hAnsi="Times New Roman" w:cs="Times New Roman"/>
                      <w:color w:val="auto"/>
                      <w:highlight w:val="none"/>
                    </w:rPr>
                    <w:t>库</w:t>
                  </w:r>
                </w:p>
              </w:tc>
              <w:tc>
                <w:tcPr>
                  <w:tcW w:w="1598" w:type="pct"/>
                  <w:vAlign w:val="center"/>
                </w:tcPr>
                <w:p w14:paraId="17C8518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泄漏、火灾引发次生灾害</w:t>
                  </w:r>
                </w:p>
              </w:tc>
              <w:tc>
                <w:tcPr>
                  <w:tcW w:w="1598" w:type="pct"/>
                  <w:vAlign w:val="center"/>
                </w:tcPr>
                <w:p w14:paraId="13D9698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扩散、消防废水漫流、渗透、吸收</w:t>
                  </w:r>
                </w:p>
              </w:tc>
            </w:tr>
          </w:tbl>
          <w:p w14:paraId="5FBEFB32">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根据《建设项目环境影响报告表编制技术指南（污染影响类）（试行）》，有毒有害和易燃易爆危险物质存储量超过临界量的建设项目需要设置风险专项评价。对照《建设项目环境风险评价技术导则》（HJ169-2018）附录 B、附录 C，本项目风险物质及临界量对比详见下表。</w:t>
            </w:r>
          </w:p>
          <w:p w14:paraId="2F17D57A">
            <w:pPr>
              <w:pStyle w:val="37"/>
              <w:rPr>
                <w:rFonts w:hint="default" w:ascii="Times New Roman" w:hAnsi="Times New Roman" w:cs="Times New Roman"/>
                <w:color w:val="auto"/>
                <w:highlight w:val="none"/>
              </w:rPr>
            </w:pPr>
            <w:r>
              <w:rPr>
                <w:rFonts w:hint="default" w:ascii="Times New Roman" w:hAnsi="Times New Roman" w:cs="Times New Roman"/>
                <w:color w:val="auto"/>
                <w:highlight w:val="none"/>
              </w:rPr>
              <w:t>表4.2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项目涉及的风险物质最大存在量及贮存方式</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538"/>
              <w:gridCol w:w="1005"/>
              <w:gridCol w:w="1050"/>
              <w:gridCol w:w="1133"/>
              <w:gridCol w:w="1115"/>
              <w:gridCol w:w="890"/>
              <w:gridCol w:w="793"/>
            </w:tblGrid>
            <w:tr w14:paraId="1C903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5F807FD">
                  <w:pPr>
                    <w:pStyle w:val="29"/>
                    <w:ind w:firstLine="0" w:firstLine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1538" w:type="dxa"/>
                  <w:vAlign w:val="center"/>
                </w:tcPr>
                <w:p w14:paraId="4503D78C">
                  <w:pPr>
                    <w:pStyle w:val="29"/>
                    <w:ind w:left="211" w:hanging="211" w:hangingChars="10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危险物质名称</w:t>
                  </w:r>
                </w:p>
              </w:tc>
              <w:tc>
                <w:tcPr>
                  <w:tcW w:w="1005" w:type="dxa"/>
                  <w:vAlign w:val="center"/>
                </w:tcPr>
                <w:p w14:paraId="337556C3">
                  <w:pPr>
                    <w:pStyle w:val="29"/>
                    <w:ind w:firstLine="0" w:firstLine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CAS号</w:t>
                  </w:r>
                </w:p>
              </w:tc>
              <w:tc>
                <w:tcPr>
                  <w:tcW w:w="1050" w:type="dxa"/>
                  <w:vAlign w:val="center"/>
                </w:tcPr>
                <w:p w14:paraId="4A3E22E3">
                  <w:pPr>
                    <w:pStyle w:val="29"/>
                    <w:ind w:firstLine="0" w:firstLine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最大存在量（t）</w:t>
                  </w:r>
                </w:p>
              </w:tc>
              <w:tc>
                <w:tcPr>
                  <w:tcW w:w="1133" w:type="dxa"/>
                  <w:vAlign w:val="center"/>
                </w:tcPr>
                <w:p w14:paraId="35B24C80">
                  <w:pPr>
                    <w:pStyle w:val="29"/>
                    <w:ind w:firstLine="0" w:firstLine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储存方式</w:t>
                  </w:r>
                </w:p>
              </w:tc>
              <w:tc>
                <w:tcPr>
                  <w:tcW w:w="1115" w:type="dxa"/>
                  <w:vAlign w:val="center"/>
                </w:tcPr>
                <w:p w14:paraId="439B5957">
                  <w:pPr>
                    <w:pStyle w:val="29"/>
                    <w:ind w:firstLine="0" w:firstLineChars="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储存位置</w:t>
                  </w:r>
                </w:p>
              </w:tc>
              <w:tc>
                <w:tcPr>
                  <w:tcW w:w="890" w:type="dxa"/>
                  <w:vAlign w:val="center"/>
                </w:tcPr>
                <w:p w14:paraId="63362CC1">
                  <w:pPr>
                    <w:pStyle w:val="29"/>
                    <w:ind w:firstLine="0" w:firstLine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临界量t/a</w:t>
                  </w:r>
                </w:p>
              </w:tc>
              <w:tc>
                <w:tcPr>
                  <w:tcW w:w="793" w:type="dxa"/>
                  <w:vAlign w:val="center"/>
                </w:tcPr>
                <w:p w14:paraId="5812C3D3">
                  <w:pPr>
                    <w:pStyle w:val="29"/>
                    <w:ind w:firstLine="0" w:firstLineChars="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q/Q</w:t>
                  </w:r>
                </w:p>
              </w:tc>
            </w:tr>
            <w:tr w14:paraId="20ADB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861F25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538" w:type="dxa"/>
                  <w:vAlign w:val="center"/>
                </w:tcPr>
                <w:p w14:paraId="70F51C7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FAI(碘化甲脒)</w:t>
                  </w:r>
                </w:p>
              </w:tc>
              <w:tc>
                <w:tcPr>
                  <w:tcW w:w="1005" w:type="dxa"/>
                  <w:vAlign w:val="center"/>
                </w:tcPr>
                <w:p w14:paraId="5FA313E0">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71D978BE">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5B034BF9">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22D4FBFF">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707281FF">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0D7C7EC3">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324AC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89" w:type="dxa"/>
                  <w:vAlign w:val="center"/>
                </w:tcPr>
                <w:p w14:paraId="34E38A0A">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538" w:type="dxa"/>
                  <w:vAlign w:val="center"/>
                </w:tcPr>
                <w:p w14:paraId="08FBB944">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MAAC(甲基醋酸铵)</w:t>
                  </w:r>
                </w:p>
              </w:tc>
              <w:tc>
                <w:tcPr>
                  <w:tcW w:w="1005" w:type="dxa"/>
                  <w:vAlign w:val="center"/>
                </w:tcPr>
                <w:p w14:paraId="10B0F046">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207A935B">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72C08BFB">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49AA1EC6">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1D89A62E">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3CA25743">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31F6B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E3497CC">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538" w:type="dxa"/>
                  <w:vAlign w:val="center"/>
                </w:tcPr>
                <w:p w14:paraId="116F075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PbI</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(碘化铅)</w:t>
                  </w:r>
                </w:p>
              </w:tc>
              <w:tc>
                <w:tcPr>
                  <w:tcW w:w="1005" w:type="dxa"/>
                  <w:vAlign w:val="center"/>
                </w:tcPr>
                <w:p w14:paraId="7A339ED6">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4F51AF75">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523E5B9C">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0AAEF0B0">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43EEA137">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7304A1EC">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3DB94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Align w:val="center"/>
                </w:tcPr>
                <w:p w14:paraId="1E85344C">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538" w:type="dxa"/>
                  <w:vAlign w:val="center"/>
                </w:tcPr>
                <w:p w14:paraId="5954608B">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Cs</w:t>
                  </w:r>
                  <w:r>
                    <w:rPr>
                      <w:rFonts w:hint="default" w:ascii="Times New Roman" w:hAnsi="Times New Roman" w:cs="Times New Roman"/>
                      <w:color w:val="auto"/>
                      <w:szCs w:val="21"/>
                      <w:highlight w:val="none"/>
                      <w:lang w:val="en-US" w:eastAsia="zh-CN"/>
                    </w:rPr>
                    <w:t>I</w:t>
                  </w:r>
                  <w:r>
                    <w:rPr>
                      <w:rFonts w:hint="default" w:ascii="Times New Roman" w:hAnsi="Times New Roman" w:cs="Times New Roman"/>
                      <w:color w:val="auto"/>
                      <w:szCs w:val="21"/>
                      <w:highlight w:val="none"/>
                    </w:rPr>
                    <w:t>(碘化铯)</w:t>
                  </w:r>
                </w:p>
              </w:tc>
              <w:tc>
                <w:tcPr>
                  <w:tcW w:w="1005" w:type="dxa"/>
                  <w:vAlign w:val="center"/>
                </w:tcPr>
                <w:p w14:paraId="3F11BDE5">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18E8E43B">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4662EE5A">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4DC00B28">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445E65D5">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23CCED09">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6B631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89" w:type="dxa"/>
                  <w:vAlign w:val="center"/>
                </w:tcPr>
                <w:p w14:paraId="61F4EC91">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1538" w:type="dxa"/>
                  <w:vAlign w:val="center"/>
                </w:tcPr>
                <w:p w14:paraId="457D9E46">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PbBr</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（溴化铅）</w:t>
                  </w:r>
                </w:p>
              </w:tc>
              <w:tc>
                <w:tcPr>
                  <w:tcW w:w="1005" w:type="dxa"/>
                  <w:vAlign w:val="center"/>
                </w:tcPr>
                <w:p w14:paraId="0AD0121F">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0EDBA3CA">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20A0D2F5">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4220BAE9">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0624ACC6">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04CC016F">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77165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65683A6">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1538" w:type="dxa"/>
                  <w:vAlign w:val="center"/>
                </w:tcPr>
                <w:p w14:paraId="2C251339">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MACl(甲基氯化铵）</w:t>
                  </w:r>
                </w:p>
              </w:tc>
              <w:tc>
                <w:tcPr>
                  <w:tcW w:w="1005" w:type="dxa"/>
                  <w:vAlign w:val="center"/>
                </w:tcPr>
                <w:p w14:paraId="34321AAD">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70C2B1A9">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19AD89FD">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4CC47A97">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2242755B">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24EF7D4E">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2ACEC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FC15205">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1538" w:type="dxa"/>
                  <w:vAlign w:val="center"/>
                </w:tcPr>
                <w:p w14:paraId="3771A594">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PbCl</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rPr>
                    <w:t>(氯化铅)</w:t>
                  </w:r>
                </w:p>
              </w:tc>
              <w:tc>
                <w:tcPr>
                  <w:tcW w:w="1005" w:type="dxa"/>
                  <w:vAlign w:val="center"/>
                </w:tcPr>
                <w:p w14:paraId="18EE9AFB">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3B866135">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4C7856F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55311B82">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46BBBCD8">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41835F41">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2112F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66E0AC35">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1538" w:type="dxa"/>
                  <w:vAlign w:val="center"/>
                </w:tcPr>
                <w:p w14:paraId="45924FED">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DMF (N,N-二甲基甲酰胺)</w:t>
                  </w:r>
                </w:p>
              </w:tc>
              <w:tc>
                <w:tcPr>
                  <w:tcW w:w="1005" w:type="dxa"/>
                  <w:vAlign w:val="center"/>
                </w:tcPr>
                <w:p w14:paraId="7906A60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108-90-7</w:t>
                  </w:r>
                </w:p>
              </w:tc>
              <w:tc>
                <w:tcPr>
                  <w:tcW w:w="1050" w:type="dxa"/>
                  <w:vAlign w:val="center"/>
                </w:tcPr>
                <w:p w14:paraId="0477E97D">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7309A5D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2FC3B321">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防爆柜</w:t>
                  </w:r>
                </w:p>
              </w:tc>
              <w:tc>
                <w:tcPr>
                  <w:tcW w:w="890" w:type="dxa"/>
                  <w:vAlign w:val="center"/>
                </w:tcPr>
                <w:p w14:paraId="315C16F9">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0D77053D">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30FB6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2517F2B">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1538" w:type="dxa"/>
                  <w:vAlign w:val="center"/>
                </w:tcPr>
                <w:p w14:paraId="493A98A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NMP（N-甲基吡咯烷酮）</w:t>
                  </w:r>
                </w:p>
              </w:tc>
              <w:tc>
                <w:tcPr>
                  <w:tcW w:w="1005" w:type="dxa"/>
                  <w:vAlign w:val="center"/>
                </w:tcPr>
                <w:p w14:paraId="4F0AEA55">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307CD9E3">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3CBA0ACC">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61047574">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药品柜</w:t>
                  </w:r>
                </w:p>
              </w:tc>
              <w:tc>
                <w:tcPr>
                  <w:tcW w:w="890" w:type="dxa"/>
                  <w:vAlign w:val="center"/>
                </w:tcPr>
                <w:p w14:paraId="7D0FCB41">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93" w:type="dxa"/>
                  <w:vAlign w:val="center"/>
                </w:tcPr>
                <w:p w14:paraId="2BB93AC2">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77973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B9EF762">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1538" w:type="dxa"/>
                  <w:vAlign w:val="center"/>
                </w:tcPr>
                <w:p w14:paraId="7EC7BA6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乙醇</w:t>
                  </w:r>
                </w:p>
              </w:tc>
              <w:tc>
                <w:tcPr>
                  <w:tcW w:w="1005" w:type="dxa"/>
                  <w:vAlign w:val="center"/>
                </w:tcPr>
                <w:p w14:paraId="5EEA17BC">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64-17-5</w:t>
                  </w:r>
                </w:p>
              </w:tc>
              <w:tc>
                <w:tcPr>
                  <w:tcW w:w="1050" w:type="dxa"/>
                  <w:vAlign w:val="center"/>
                </w:tcPr>
                <w:p w14:paraId="5290FCC7">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3C5A6DB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瓶装</w:t>
                  </w:r>
                </w:p>
              </w:tc>
              <w:tc>
                <w:tcPr>
                  <w:tcW w:w="1115" w:type="dxa"/>
                  <w:vAlign w:val="center"/>
                </w:tcPr>
                <w:p w14:paraId="1AD2B47D">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药品柜</w:t>
                  </w:r>
                </w:p>
              </w:tc>
              <w:tc>
                <w:tcPr>
                  <w:tcW w:w="890" w:type="dxa"/>
                  <w:vAlign w:val="center"/>
                </w:tcPr>
                <w:p w14:paraId="385AB424">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w:t>
                  </w:r>
                </w:p>
              </w:tc>
              <w:tc>
                <w:tcPr>
                  <w:tcW w:w="793" w:type="dxa"/>
                  <w:vAlign w:val="center"/>
                </w:tcPr>
                <w:p w14:paraId="25828EB8">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654F9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E7C713F">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w:t>
                  </w:r>
                </w:p>
              </w:tc>
              <w:tc>
                <w:tcPr>
                  <w:tcW w:w="1538" w:type="dxa"/>
                  <w:vAlign w:val="center"/>
                </w:tcPr>
                <w:p w14:paraId="09B35D07">
                  <w:pPr>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highlight w:val="none"/>
                    </w:rPr>
                    <w:t>废气处理设施废活性炭</w:t>
                  </w:r>
                </w:p>
              </w:tc>
              <w:tc>
                <w:tcPr>
                  <w:tcW w:w="1005" w:type="dxa"/>
                  <w:vAlign w:val="center"/>
                </w:tcPr>
                <w:p w14:paraId="4A5E2FCF">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289E2219">
                  <w:pPr>
                    <w:keepNext w:val="0"/>
                    <w:keepLines w:val="0"/>
                    <w:widowControl/>
                    <w:suppressLineNumbers w:val="0"/>
                    <w:jc w:val="center"/>
                    <w:textAlignment w:val="center"/>
                    <w:rPr>
                      <w:rFonts w:hint="default" w:ascii="Times New Roman" w:hAnsi="Times New Roman" w:cs="Times New Roman"/>
                      <w:color w:val="auto"/>
                      <w:szCs w:val="21"/>
                      <w:highlight w:val="none"/>
                      <w:lang w:val="en-US"/>
                    </w:rPr>
                  </w:pPr>
                  <w:r>
                    <w:rPr>
                      <w:rFonts w:hint="eastAsia" w:cs="Times New Roman"/>
                      <w:color w:val="auto"/>
                      <w:sz w:val="24"/>
                      <w:szCs w:val="24"/>
                      <w:highlight w:val="none"/>
                      <w:lang w:val="en-US" w:eastAsia="zh-CN"/>
                    </w:rPr>
                    <w:t>***</w:t>
                  </w:r>
                </w:p>
              </w:tc>
              <w:tc>
                <w:tcPr>
                  <w:tcW w:w="1133" w:type="dxa"/>
                  <w:vAlign w:val="center"/>
                </w:tcPr>
                <w:p w14:paraId="01AF2CA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15" w:type="dxa"/>
                  <w:vAlign w:val="center"/>
                </w:tcPr>
                <w:p w14:paraId="6951549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22BE5C9B">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5E2B9254">
                  <w:pPr>
                    <w:keepNext w:val="0"/>
                    <w:keepLines w:val="0"/>
                    <w:widowControl/>
                    <w:suppressLineNumbers w:val="0"/>
                    <w:jc w:val="center"/>
                    <w:textAlignment w:val="center"/>
                    <w:rPr>
                      <w:rFonts w:hint="default" w:ascii="Times New Roman" w:hAnsi="Times New Roman" w:cs="Times New Roman"/>
                      <w:color w:val="auto"/>
                      <w:szCs w:val="21"/>
                      <w:highlight w:val="none"/>
                      <w:lang w:val="en-US"/>
                    </w:rPr>
                  </w:pPr>
                  <w:r>
                    <w:rPr>
                      <w:rFonts w:hint="eastAsia" w:cs="Times New Roman"/>
                      <w:color w:val="auto"/>
                      <w:sz w:val="24"/>
                      <w:szCs w:val="24"/>
                      <w:highlight w:val="none"/>
                      <w:lang w:val="en-US" w:eastAsia="zh-CN"/>
                    </w:rPr>
                    <w:t>***</w:t>
                  </w:r>
                </w:p>
              </w:tc>
            </w:tr>
            <w:tr w14:paraId="752B2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0BCF827">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1538" w:type="dxa"/>
                  <w:vAlign w:val="center"/>
                </w:tcPr>
                <w:p w14:paraId="7C47BA9F">
                  <w:pPr>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highlight w:val="none"/>
                    </w:rPr>
                    <w:t>清洗废液</w:t>
                  </w:r>
                </w:p>
              </w:tc>
              <w:tc>
                <w:tcPr>
                  <w:tcW w:w="1005" w:type="dxa"/>
                  <w:vAlign w:val="center"/>
                </w:tcPr>
                <w:p w14:paraId="41BFCFA2">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0A8B4ADB">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16C16BD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15" w:type="dxa"/>
                  <w:vAlign w:val="center"/>
                </w:tcPr>
                <w:p w14:paraId="333E1BF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28EB6D5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47A7015C">
                  <w:pPr>
                    <w:keepNext w:val="0"/>
                    <w:keepLines w:val="0"/>
                    <w:widowControl/>
                    <w:suppressLineNumbers w:val="0"/>
                    <w:jc w:val="center"/>
                    <w:textAlignment w:val="center"/>
                    <w:rPr>
                      <w:rFonts w:hint="default" w:ascii="Times New Roman" w:hAnsi="Times New Roman" w:cs="Times New Roman"/>
                      <w:color w:val="auto"/>
                      <w:szCs w:val="21"/>
                      <w:highlight w:val="none"/>
                      <w:lang w:val="en-US"/>
                    </w:rPr>
                  </w:pPr>
                  <w:r>
                    <w:rPr>
                      <w:rFonts w:hint="eastAsia" w:cs="Times New Roman"/>
                      <w:color w:val="auto"/>
                      <w:sz w:val="24"/>
                      <w:szCs w:val="24"/>
                      <w:highlight w:val="none"/>
                      <w:lang w:val="en-US" w:eastAsia="zh-CN"/>
                    </w:rPr>
                    <w:t>***</w:t>
                  </w:r>
                </w:p>
              </w:tc>
            </w:tr>
            <w:tr w14:paraId="1C5E4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D65E2AA">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w:t>
                  </w:r>
                </w:p>
              </w:tc>
              <w:tc>
                <w:tcPr>
                  <w:tcW w:w="1538" w:type="dxa"/>
                  <w:vAlign w:val="center"/>
                </w:tcPr>
                <w:p w14:paraId="6BFF498B">
                  <w:pPr>
                    <w:jc w:val="center"/>
                    <w:rPr>
                      <w:rFonts w:hint="eastAsia" w:ascii="Times New Roman" w:hAnsi="Times New Roman" w:eastAsia="宋体" w:cs="Times New Roman"/>
                      <w:color w:val="auto"/>
                      <w:szCs w:val="21"/>
                      <w:highlight w:val="none"/>
                      <w:lang w:eastAsia="zh-CN"/>
                    </w:rPr>
                  </w:pPr>
                  <w:r>
                    <w:rPr>
                      <w:rFonts w:hint="eastAsia" w:cs="Times New Roman"/>
                      <w:color w:val="auto"/>
                      <w:highlight w:val="none"/>
                      <w:lang w:eastAsia="zh-CN"/>
                    </w:rPr>
                    <w:t>废擦拭乙醇</w:t>
                  </w:r>
                </w:p>
              </w:tc>
              <w:tc>
                <w:tcPr>
                  <w:tcW w:w="1005" w:type="dxa"/>
                  <w:vAlign w:val="center"/>
                </w:tcPr>
                <w:p w14:paraId="78FD0468">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10AE9545">
                  <w:pPr>
                    <w:keepNext w:val="0"/>
                    <w:keepLines w:val="0"/>
                    <w:widowControl/>
                    <w:suppressLineNumbers w:val="0"/>
                    <w:jc w:val="center"/>
                    <w:textAlignment w:val="center"/>
                    <w:rPr>
                      <w:rFonts w:hint="default" w:ascii="Times New Roman" w:hAnsi="Times New Roman" w:cs="Times New Roman"/>
                      <w:color w:val="auto"/>
                      <w:szCs w:val="21"/>
                      <w:highlight w:val="none"/>
                      <w:lang w:val="en-US"/>
                    </w:rPr>
                  </w:pPr>
                  <w:r>
                    <w:rPr>
                      <w:rFonts w:hint="eastAsia" w:cs="Times New Roman"/>
                      <w:color w:val="auto"/>
                      <w:sz w:val="24"/>
                      <w:szCs w:val="24"/>
                      <w:highlight w:val="none"/>
                      <w:lang w:val="en-US" w:eastAsia="zh-CN"/>
                    </w:rPr>
                    <w:t>***</w:t>
                  </w:r>
                </w:p>
              </w:tc>
              <w:tc>
                <w:tcPr>
                  <w:tcW w:w="1133" w:type="dxa"/>
                  <w:vAlign w:val="center"/>
                </w:tcPr>
                <w:p w14:paraId="5E5A9C1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15" w:type="dxa"/>
                  <w:vAlign w:val="center"/>
                </w:tcPr>
                <w:p w14:paraId="0D14AAE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41BD2176">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00B58B30">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07893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748E7B1">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w:t>
                  </w:r>
                </w:p>
              </w:tc>
              <w:tc>
                <w:tcPr>
                  <w:tcW w:w="1538" w:type="dxa"/>
                  <w:vAlign w:val="center"/>
                </w:tcPr>
                <w:p w14:paraId="3C94FB2E">
                  <w:pPr>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highlight w:val="none"/>
                    </w:rPr>
                    <w:t>实验配液间废一次性器具及防护用品</w:t>
                  </w:r>
                </w:p>
              </w:tc>
              <w:tc>
                <w:tcPr>
                  <w:tcW w:w="1005" w:type="dxa"/>
                  <w:vAlign w:val="center"/>
                </w:tcPr>
                <w:p w14:paraId="1EFBEA6F">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5FCA9259">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c>
                <w:tcPr>
                  <w:tcW w:w="1133" w:type="dxa"/>
                  <w:vAlign w:val="center"/>
                </w:tcPr>
                <w:p w14:paraId="67B00FA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15" w:type="dxa"/>
                  <w:vAlign w:val="center"/>
                </w:tcPr>
                <w:p w14:paraId="32FFD00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4F6A3F06">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0D5606E0">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251DC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D219D7E">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538" w:type="dxa"/>
                  <w:vAlign w:val="center"/>
                </w:tcPr>
                <w:p w14:paraId="2ED0B49D">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废涂布溶液</w:t>
                  </w:r>
                </w:p>
              </w:tc>
              <w:tc>
                <w:tcPr>
                  <w:tcW w:w="1005" w:type="dxa"/>
                  <w:vAlign w:val="center"/>
                </w:tcPr>
                <w:p w14:paraId="73C4B5F3">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41EDBB37">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053B6FB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15" w:type="dxa"/>
                  <w:vAlign w:val="center"/>
                </w:tcPr>
                <w:p w14:paraId="14F4D86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495B619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674AAA65">
                  <w:pPr>
                    <w:keepNext w:val="0"/>
                    <w:keepLines w:val="0"/>
                    <w:widowControl/>
                    <w:suppressLineNumbers w:val="0"/>
                    <w:jc w:val="center"/>
                    <w:textAlignment w:val="center"/>
                    <w:rPr>
                      <w:rFonts w:hint="default" w:ascii="Times New Roman" w:hAnsi="Times New Roman" w:cs="Times New Roman"/>
                      <w:color w:val="auto"/>
                      <w:szCs w:val="21"/>
                      <w:highlight w:val="none"/>
                    </w:rPr>
                  </w:pPr>
                  <w:r>
                    <w:rPr>
                      <w:rFonts w:hint="eastAsia" w:cs="Times New Roman"/>
                      <w:color w:val="auto"/>
                      <w:sz w:val="24"/>
                      <w:szCs w:val="24"/>
                      <w:highlight w:val="none"/>
                      <w:lang w:val="en-US" w:eastAsia="zh-CN"/>
                    </w:rPr>
                    <w:t>***</w:t>
                  </w:r>
                </w:p>
              </w:tc>
            </w:tr>
            <w:tr w14:paraId="691B2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8C22E68">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1538" w:type="dxa"/>
                  <w:vAlign w:val="center"/>
                </w:tcPr>
                <w:p w14:paraId="060E2C2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废润滑油</w:t>
                  </w:r>
                </w:p>
              </w:tc>
              <w:tc>
                <w:tcPr>
                  <w:tcW w:w="1005" w:type="dxa"/>
                  <w:vAlign w:val="center"/>
                </w:tcPr>
                <w:p w14:paraId="47D4F965">
                  <w:pPr>
                    <w:pStyle w:val="29"/>
                    <w:ind w:firstLine="0" w:firstLineChars="0"/>
                    <w:jc w:val="center"/>
                    <w:rPr>
                      <w:rFonts w:hint="default" w:ascii="Times New Roman" w:hAnsi="Times New Roman" w:cs="Times New Roman"/>
                      <w:color w:val="auto"/>
                      <w:szCs w:val="21"/>
                      <w:highlight w:val="none"/>
                    </w:rPr>
                  </w:pPr>
                </w:p>
              </w:tc>
              <w:tc>
                <w:tcPr>
                  <w:tcW w:w="1050" w:type="dxa"/>
                  <w:vAlign w:val="center"/>
                </w:tcPr>
                <w:p w14:paraId="0E9CA1D8">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5EB46791">
                  <w:pPr>
                    <w:jc w:val="center"/>
                    <w:rPr>
                      <w:rFonts w:hint="default" w:ascii="Times New Roman" w:hAnsi="Times New Roman" w:cs="Times New Roman"/>
                      <w:color w:val="auto"/>
                      <w:szCs w:val="21"/>
                      <w:highlight w:val="none"/>
                    </w:rPr>
                  </w:pPr>
                </w:p>
              </w:tc>
              <w:tc>
                <w:tcPr>
                  <w:tcW w:w="1115" w:type="dxa"/>
                  <w:vAlign w:val="center"/>
                </w:tcPr>
                <w:p w14:paraId="60B7EF2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7672E88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523920AD">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r>
            <w:tr w14:paraId="53AE1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8A17465">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w:t>
                  </w:r>
                </w:p>
              </w:tc>
              <w:tc>
                <w:tcPr>
                  <w:tcW w:w="1538" w:type="dxa"/>
                  <w:vAlign w:val="center"/>
                </w:tcPr>
                <w:p w14:paraId="30F2D7B8">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highlight w:val="none"/>
                    </w:rPr>
                    <w:t>化学品废包装材料</w:t>
                  </w:r>
                </w:p>
              </w:tc>
              <w:tc>
                <w:tcPr>
                  <w:tcW w:w="1005" w:type="dxa"/>
                  <w:vAlign w:val="center"/>
                </w:tcPr>
                <w:p w14:paraId="536AF007">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50" w:type="dxa"/>
                  <w:vAlign w:val="center"/>
                </w:tcPr>
                <w:p w14:paraId="4A5B6B62">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3851C1B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15" w:type="dxa"/>
                  <w:vAlign w:val="center"/>
                </w:tcPr>
                <w:p w14:paraId="77810D6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0999C2D4">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6B6CCA8E">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szCs w:val="24"/>
                      <w:highlight w:val="none"/>
                      <w:lang w:val="en-US" w:eastAsia="zh-CN"/>
                    </w:rPr>
                    <w:t>***</w:t>
                  </w:r>
                </w:p>
              </w:tc>
            </w:tr>
            <w:tr w14:paraId="7DEE4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A574058">
                  <w:pPr>
                    <w:pStyle w:val="29"/>
                    <w:ind w:firstLine="0" w:firstLineChars="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18</w:t>
                  </w:r>
                </w:p>
              </w:tc>
              <w:tc>
                <w:tcPr>
                  <w:tcW w:w="1538" w:type="dxa"/>
                  <w:vAlign w:val="center"/>
                </w:tcPr>
                <w:p w14:paraId="73868AF6">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激光划线粉尘</w:t>
                  </w:r>
                </w:p>
              </w:tc>
              <w:tc>
                <w:tcPr>
                  <w:tcW w:w="1005" w:type="dxa"/>
                  <w:vAlign w:val="center"/>
                </w:tcPr>
                <w:p w14:paraId="4E4F0517">
                  <w:pPr>
                    <w:pStyle w:val="29"/>
                    <w:ind w:firstLine="0" w:firstLineChars="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050" w:type="dxa"/>
                  <w:vAlign w:val="center"/>
                </w:tcPr>
                <w:p w14:paraId="2DBEB6BE">
                  <w:pPr>
                    <w:keepNext w:val="0"/>
                    <w:keepLines w:val="0"/>
                    <w:widowControl/>
                    <w:suppressLineNumbers w:val="0"/>
                    <w:jc w:val="center"/>
                    <w:textAlignment w:val="center"/>
                    <w:rPr>
                      <w:rFonts w:hint="default" w:ascii="Times New Roman" w:hAnsi="Times New Roman"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3FCF8CA3">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115" w:type="dxa"/>
                  <w:vAlign w:val="center"/>
                </w:tcPr>
                <w:p w14:paraId="371C345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危废仓库</w:t>
                  </w:r>
                </w:p>
              </w:tc>
              <w:tc>
                <w:tcPr>
                  <w:tcW w:w="890" w:type="dxa"/>
                  <w:vAlign w:val="center"/>
                </w:tcPr>
                <w:p w14:paraId="4DB4574E">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793" w:type="dxa"/>
                  <w:vAlign w:val="center"/>
                </w:tcPr>
                <w:p w14:paraId="0086112A">
                  <w:pPr>
                    <w:keepNext w:val="0"/>
                    <w:keepLines w:val="0"/>
                    <w:widowControl/>
                    <w:suppressLineNumbers w:val="0"/>
                    <w:jc w:val="center"/>
                    <w:textAlignment w:val="center"/>
                    <w:rPr>
                      <w:rFonts w:hint="default" w:ascii="Times New Roman" w:hAnsi="Times New Roman" w:cs="Times New Roman"/>
                      <w:color w:val="auto"/>
                      <w:szCs w:val="21"/>
                      <w:highlight w:val="none"/>
                      <w:lang w:val="en-US" w:eastAsia="zh-CN"/>
                    </w:rPr>
                  </w:pPr>
                  <w:r>
                    <w:rPr>
                      <w:rFonts w:hint="eastAsia" w:cs="Times New Roman"/>
                      <w:color w:val="auto"/>
                      <w:sz w:val="24"/>
                      <w:szCs w:val="24"/>
                      <w:highlight w:val="none"/>
                      <w:lang w:val="en-US" w:eastAsia="zh-CN"/>
                    </w:rPr>
                    <w:t>***</w:t>
                  </w:r>
                </w:p>
              </w:tc>
            </w:tr>
            <w:tr w14:paraId="146F2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0B5D680">
                  <w:pPr>
                    <w:pStyle w:val="29"/>
                    <w:ind w:firstLine="0" w:firstLineChars="0"/>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19</w:t>
                  </w:r>
                </w:p>
              </w:tc>
              <w:tc>
                <w:tcPr>
                  <w:tcW w:w="1538" w:type="dxa"/>
                  <w:vAlign w:val="center"/>
                </w:tcPr>
                <w:p w14:paraId="52A12EAD">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银</w:t>
                  </w:r>
                </w:p>
              </w:tc>
              <w:tc>
                <w:tcPr>
                  <w:tcW w:w="1005" w:type="dxa"/>
                  <w:vAlign w:val="center"/>
                </w:tcPr>
                <w:p w14:paraId="7DBD78EC">
                  <w:pPr>
                    <w:pStyle w:val="29"/>
                    <w:ind w:firstLine="0" w:firstLineChars="0"/>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w:t>
                  </w:r>
                </w:p>
              </w:tc>
              <w:tc>
                <w:tcPr>
                  <w:tcW w:w="1050" w:type="dxa"/>
                  <w:vAlign w:val="center"/>
                </w:tcPr>
                <w:p w14:paraId="40856E2C">
                  <w:pPr>
                    <w:keepNext w:val="0"/>
                    <w:keepLines w:val="0"/>
                    <w:widowControl/>
                    <w:suppressLineNumbers w:val="0"/>
                    <w:jc w:val="center"/>
                    <w:textAlignment w:val="center"/>
                    <w:rPr>
                      <w:rFonts w:hint="default" w:ascii="Times New Roman" w:hAnsi="Times New Roman" w:cs="Times New Roman"/>
                      <w:color w:val="auto"/>
                      <w:szCs w:val="21"/>
                      <w:highlight w:val="none"/>
                      <w:lang w:val="en-US" w:eastAsia="zh-CN"/>
                    </w:rPr>
                  </w:pPr>
                  <w:r>
                    <w:rPr>
                      <w:rFonts w:hint="eastAsia" w:cs="Times New Roman"/>
                      <w:color w:val="auto"/>
                      <w:sz w:val="24"/>
                      <w:szCs w:val="24"/>
                      <w:highlight w:val="none"/>
                      <w:lang w:val="en-US" w:eastAsia="zh-CN"/>
                    </w:rPr>
                    <w:t>***</w:t>
                  </w:r>
                </w:p>
              </w:tc>
              <w:tc>
                <w:tcPr>
                  <w:tcW w:w="1133" w:type="dxa"/>
                  <w:vAlign w:val="center"/>
                </w:tcPr>
                <w:p w14:paraId="0FB6D48D">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w:t>
                  </w:r>
                </w:p>
              </w:tc>
              <w:tc>
                <w:tcPr>
                  <w:tcW w:w="1115" w:type="dxa"/>
                  <w:vAlign w:val="center"/>
                </w:tcPr>
                <w:p w14:paraId="6A537341">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实验室药品柜</w:t>
                  </w:r>
                </w:p>
              </w:tc>
              <w:tc>
                <w:tcPr>
                  <w:tcW w:w="890" w:type="dxa"/>
                  <w:vAlign w:val="center"/>
                </w:tcPr>
                <w:p w14:paraId="6D53B48F">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0.25</w:t>
                  </w:r>
                </w:p>
              </w:tc>
              <w:tc>
                <w:tcPr>
                  <w:tcW w:w="793" w:type="dxa"/>
                  <w:vAlign w:val="center"/>
                </w:tcPr>
                <w:p w14:paraId="19B9A7F0">
                  <w:pPr>
                    <w:keepNext w:val="0"/>
                    <w:keepLines w:val="0"/>
                    <w:widowControl/>
                    <w:suppressLineNumbers w:val="0"/>
                    <w:jc w:val="center"/>
                    <w:textAlignment w:val="center"/>
                    <w:rPr>
                      <w:rFonts w:hint="default" w:ascii="Times New Roman" w:hAnsi="Times New Roman" w:cs="Times New Roman"/>
                      <w:color w:val="auto"/>
                      <w:szCs w:val="21"/>
                      <w:highlight w:val="none"/>
                      <w:lang w:val="en-US" w:eastAsia="zh-CN"/>
                    </w:rPr>
                  </w:pPr>
                  <w:r>
                    <w:rPr>
                      <w:rFonts w:hint="eastAsia" w:cs="Times New Roman"/>
                      <w:color w:val="auto"/>
                      <w:sz w:val="24"/>
                      <w:szCs w:val="24"/>
                      <w:highlight w:val="none"/>
                      <w:lang w:val="en-US" w:eastAsia="zh-CN"/>
                    </w:rPr>
                    <w:t>***</w:t>
                  </w:r>
                </w:p>
              </w:tc>
            </w:tr>
            <w:tr w14:paraId="249ED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20" w:type="dxa"/>
                  <w:gridSpan w:val="7"/>
                  <w:vAlign w:val="center"/>
                </w:tcPr>
                <w:p w14:paraId="19A8D890">
                  <w:pPr>
                    <w:pStyle w:val="29"/>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项目Q值∑</w:t>
                  </w:r>
                </w:p>
              </w:tc>
              <w:tc>
                <w:tcPr>
                  <w:tcW w:w="793" w:type="dxa"/>
                  <w:vAlign w:val="center"/>
                </w:tcPr>
                <w:p w14:paraId="0D8ECE65">
                  <w:pPr>
                    <w:keepNext w:val="0"/>
                    <w:keepLines w:val="0"/>
                    <w:widowControl/>
                    <w:suppressLineNumbers w:val="0"/>
                    <w:jc w:val="center"/>
                    <w:textAlignment w:val="center"/>
                    <w:rPr>
                      <w:rFonts w:hint="default" w:ascii="Times New Roman" w:hAnsi="Times New Roman" w:cs="Times New Roman"/>
                      <w:color w:val="auto"/>
                      <w:szCs w:val="21"/>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cs="Times New Roman"/>
                      <w:i w:val="0"/>
                      <w:iCs w:val="0"/>
                      <w:color w:val="auto"/>
                      <w:kern w:val="0"/>
                      <w:sz w:val="21"/>
                      <w:szCs w:val="21"/>
                      <w:u w:val="none"/>
                      <w:lang w:val="en-US" w:eastAsia="zh-CN" w:bidi="ar"/>
                    </w:rPr>
                    <w:t>4</w:t>
                  </w:r>
                  <w:r>
                    <w:rPr>
                      <w:rFonts w:hint="eastAsia" w:cs="Times New Roman"/>
                      <w:i w:val="0"/>
                      <w:iCs w:val="0"/>
                      <w:color w:val="auto"/>
                      <w:kern w:val="0"/>
                      <w:sz w:val="21"/>
                      <w:szCs w:val="21"/>
                      <w:u w:val="none"/>
                      <w:lang w:val="en-US" w:eastAsia="zh-CN" w:bidi="ar"/>
                    </w:rPr>
                    <w:t>91</w:t>
                  </w:r>
                </w:p>
              </w:tc>
            </w:tr>
          </w:tbl>
          <w:p w14:paraId="22113C36">
            <w:pPr>
              <w:autoSpaceDE w:val="0"/>
              <w:autoSpaceDN w:val="0"/>
              <w:adjustRightInd w:val="0"/>
              <w:snapToGrid w:val="0"/>
              <w:spacing w:line="360" w:lineRule="auto"/>
              <w:ind w:firstLine="442" w:firstLineChars="200"/>
              <w:textAlignment w:val="baseline"/>
              <w:rPr>
                <w:rFonts w:hint="default" w:ascii="Times New Roman" w:hAnsi="Times New Roman" w:cs="Times New Roman"/>
                <w:b/>
                <w:bCs/>
                <w:color w:val="auto"/>
                <w:kern w:val="28"/>
                <w:sz w:val="22"/>
                <w:szCs w:val="22"/>
                <w:highlight w:val="none"/>
                <w:lang w:val="en-US" w:eastAsia="zh-CN"/>
              </w:rPr>
            </w:pPr>
            <w:r>
              <w:rPr>
                <w:rFonts w:hint="default" w:ascii="Times New Roman" w:hAnsi="Times New Roman" w:cs="Times New Roman"/>
                <w:b/>
                <w:bCs/>
                <w:color w:val="auto"/>
                <w:kern w:val="28"/>
                <w:sz w:val="22"/>
                <w:szCs w:val="22"/>
                <w:highlight w:val="none"/>
                <w:lang w:val="en-US" w:eastAsia="zh-CN"/>
              </w:rPr>
              <w:t>注：原辅料的药品临界量参照HJ941 2018 突发环境事件风险分级方法中附录A第八部分 其他类物质及污染物部分健康危险毒性物质临界值。</w:t>
            </w:r>
          </w:p>
          <w:p w14:paraId="38592BEA">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根据计算，危险物质存储量与临界量的比值Q=0.4</w:t>
            </w:r>
            <w:r>
              <w:rPr>
                <w:rFonts w:hint="eastAsia" w:cs="Times New Roman"/>
                <w:color w:val="auto"/>
                <w:kern w:val="28"/>
                <w:sz w:val="24"/>
                <w:highlight w:val="none"/>
                <w:lang w:val="en-US" w:eastAsia="zh-CN"/>
              </w:rPr>
              <w:t>91</w:t>
            </w:r>
            <w:r>
              <w:rPr>
                <w:rFonts w:hint="default" w:ascii="Times New Roman" w:hAnsi="Times New Roman" w:cs="Times New Roman"/>
                <w:color w:val="auto"/>
                <w:kern w:val="28"/>
                <w:sz w:val="24"/>
                <w:highlight w:val="none"/>
              </w:rPr>
              <w:t>＜1，无需设置风险专项评价。</w:t>
            </w:r>
          </w:p>
          <w:p w14:paraId="7B8EFF17">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（2）影响途径</w:t>
            </w:r>
          </w:p>
          <w:p w14:paraId="3E3620C8">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lang w:val="en-US" w:eastAsia="zh-CN"/>
              </w:rPr>
              <w:t>1）</w:t>
            </w:r>
            <w:r>
              <w:rPr>
                <w:rFonts w:hint="default" w:ascii="Times New Roman" w:hAnsi="Times New Roman" w:cs="Times New Roman"/>
                <w:color w:val="auto"/>
                <w:kern w:val="28"/>
                <w:sz w:val="24"/>
                <w:highlight w:val="none"/>
              </w:rPr>
              <w:t>火灾爆炸引发的二次污染事故</w:t>
            </w:r>
          </w:p>
          <w:p w14:paraId="33624962">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企业发生的火灾爆炸事故引发的二次污染主要包括：乙醇等原辅料泄漏导致火灾爆炸等安全事故，继而引发次生、衍生厂内外环境污染。</w:t>
            </w:r>
          </w:p>
          <w:p w14:paraId="33B02635">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lang w:val="en-US" w:eastAsia="zh-CN"/>
              </w:rPr>
              <w:t>2）</w:t>
            </w:r>
            <w:r>
              <w:rPr>
                <w:rFonts w:hint="default" w:ascii="Times New Roman" w:hAnsi="Times New Roman" w:cs="Times New Roman"/>
                <w:color w:val="auto"/>
                <w:kern w:val="28"/>
                <w:sz w:val="24"/>
                <w:highlight w:val="none"/>
              </w:rPr>
              <w:t>泄漏事故</w:t>
            </w:r>
          </w:p>
          <w:p w14:paraId="02867A11">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乙醇、化学品和危险废物等发生泄漏事故。发生泄漏事故时产生的环境危害主要是：液体物料泄漏进入环境污染地表水、地下水和土壤；气体和易挥发性液体有毒物释产生有害的毒性烟雾会造成人群中毒、窒息。</w:t>
            </w:r>
          </w:p>
          <w:p w14:paraId="1553617B">
            <w:pPr>
              <w:autoSpaceDE w:val="0"/>
              <w:autoSpaceDN w:val="0"/>
              <w:adjustRightInd w:val="0"/>
              <w:snapToGrid w:val="0"/>
              <w:spacing w:line="360" w:lineRule="auto"/>
              <w:ind w:firstLine="480" w:firstLineChars="200"/>
              <w:textAlignment w:val="baseline"/>
              <w:rPr>
                <w:rFonts w:hint="default" w:ascii="Times New Roman" w:hAnsi="Times New Roman" w:eastAsia="宋体" w:cs="Times New Roman"/>
                <w:color w:val="auto"/>
                <w:kern w:val="28"/>
                <w:sz w:val="24"/>
                <w:highlight w:val="none"/>
                <w:lang w:val="en-US" w:eastAsia="zh-CN"/>
              </w:rPr>
            </w:pPr>
            <w:r>
              <w:rPr>
                <w:rFonts w:hint="default" w:ascii="Times New Roman" w:hAnsi="Times New Roman" w:cs="Times New Roman"/>
                <w:color w:val="auto"/>
                <w:kern w:val="28"/>
                <w:sz w:val="24"/>
                <w:highlight w:val="none"/>
                <w:lang w:val="en-US" w:eastAsia="zh-CN"/>
              </w:rPr>
              <w:t>3）</w:t>
            </w:r>
            <w:r>
              <w:rPr>
                <w:rFonts w:hint="default" w:ascii="Times New Roman" w:hAnsi="Times New Roman" w:cs="Times New Roman"/>
                <w:color w:val="auto"/>
                <w:kern w:val="28"/>
                <w:sz w:val="24"/>
                <w:highlight w:val="none"/>
              </w:rPr>
              <w:t>自然灾害、极端天气或不利气象条件台风、地震等气象条件下可能导致公司突然停电、停水等情况，会导致公司废气、废水处理设施非正常运转，有害物质可能会进入大气、水、土壤造成污染</w:t>
            </w:r>
            <w:r>
              <w:rPr>
                <w:rFonts w:hint="default" w:ascii="Times New Roman" w:hAnsi="Times New Roman" w:cs="Times New Roman"/>
                <w:color w:val="auto"/>
                <w:kern w:val="28"/>
                <w:sz w:val="24"/>
                <w:highlight w:val="none"/>
                <w:lang w:val="en-US" w:eastAsia="zh-CN"/>
              </w:rPr>
              <w:t>.</w:t>
            </w:r>
          </w:p>
          <w:p w14:paraId="27F635CA">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w:t>
            </w:r>
            <w:r>
              <w:rPr>
                <w:rFonts w:hint="eastAsia" w:cs="Times New Roman"/>
                <w:color w:val="auto"/>
                <w:kern w:val="28"/>
                <w:sz w:val="24"/>
                <w:highlight w:val="none"/>
                <w:lang w:val="en-US" w:eastAsia="zh-CN"/>
              </w:rPr>
              <w:t>3</w:t>
            </w:r>
            <w:r>
              <w:rPr>
                <w:rFonts w:hint="default" w:ascii="Times New Roman" w:hAnsi="Times New Roman" w:cs="Times New Roman"/>
                <w:color w:val="auto"/>
                <w:kern w:val="28"/>
                <w:sz w:val="24"/>
                <w:highlight w:val="none"/>
              </w:rPr>
              <w:t>）环境风险事故分析</w:t>
            </w:r>
          </w:p>
          <w:p w14:paraId="5F5821E5">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实验危险事故：</w:t>
            </w:r>
          </w:p>
          <w:p w14:paraId="0187344C">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①因不可抗拒因素或操作失误，引起实验药品破碎、泄漏，发生火灾事故，其燃烧废气主要为 CO、NOx 和其他有害气体。</w:t>
            </w:r>
          </w:p>
          <w:p w14:paraId="3BA14735">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②试剂在使用、贮存过程中，因意外事故造成泄漏，会对实验人员造成人身伤害、对实验室环境产生影响。</w:t>
            </w:r>
          </w:p>
          <w:p w14:paraId="40BE5C08">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废气处理系统事故排放：</w:t>
            </w:r>
          </w:p>
          <w:p w14:paraId="32CAF65A">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当废气处理系统出现事故时，未经处理的有机废气会直接排放，直接排入周围环境中，对周边生活环境有一定的影响。</w:t>
            </w:r>
          </w:p>
          <w:p w14:paraId="1F7608F1">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w:t>
            </w:r>
            <w:r>
              <w:rPr>
                <w:rFonts w:hint="eastAsia" w:cs="Times New Roman"/>
                <w:color w:val="auto"/>
                <w:kern w:val="28"/>
                <w:sz w:val="24"/>
                <w:highlight w:val="none"/>
                <w:lang w:val="en-US" w:eastAsia="zh-CN"/>
              </w:rPr>
              <w:t>4</w:t>
            </w:r>
            <w:r>
              <w:rPr>
                <w:rFonts w:hint="default" w:ascii="Times New Roman" w:hAnsi="Times New Roman" w:cs="Times New Roman"/>
                <w:color w:val="auto"/>
                <w:kern w:val="28"/>
                <w:sz w:val="24"/>
                <w:highlight w:val="none"/>
              </w:rPr>
              <w:t>）环境风险防范措施</w:t>
            </w:r>
          </w:p>
          <w:p w14:paraId="72E7C368">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研发实验区环保设施管理与风险防范措施：</w:t>
            </w:r>
          </w:p>
          <w:p w14:paraId="284144AC">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①尽量采用技术先进和安全可靠的设备，并按国家有关规定在实验室内设置必要的安全卫生设施。</w:t>
            </w:r>
          </w:p>
          <w:p w14:paraId="26BE598D">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②保证水、电等管线设施规范、完善，实验室设备及各种附件完好，实验室现场布置合理、通道畅通、整洁卫生，实验室安全标志齐全、醒目直观，实验室安全防护设施齐全可靠，安全事故抢救设施齐全、性能良好。③企业应对具有高危害设备设置保险措施、对危险工段可设置必备的应急措施。并制定厂内的应急计划、定期进行安全环保宣传教育以及紧急事放模拟演习，配备必要和适当的通讯工具和应急设施。</w:t>
            </w:r>
          </w:p>
          <w:p w14:paraId="03AEC98C">
            <w:pPr>
              <w:autoSpaceDE w:val="0"/>
              <w:autoSpaceDN w:val="0"/>
              <w:adjustRightInd w:val="0"/>
              <w:snapToGrid w:val="0"/>
              <w:spacing w:line="360" w:lineRule="auto"/>
              <w:ind w:firstLine="480" w:firstLineChars="200"/>
              <w:textAlignment w:val="baseline"/>
              <w:rPr>
                <w:rFonts w:hint="default" w:ascii="Times New Roman" w:hAnsi="Times New Roman" w:eastAsia="宋体" w:cs="Times New Roman"/>
                <w:color w:val="auto"/>
                <w:kern w:val="28"/>
                <w:sz w:val="24"/>
                <w:highlight w:val="none"/>
                <w:lang w:val="en-US" w:eastAsia="zh-CN"/>
              </w:rPr>
            </w:pPr>
            <w:r>
              <w:rPr>
                <w:rFonts w:hint="default" w:ascii="Times New Roman" w:hAnsi="Times New Roman" w:cs="Times New Roman"/>
                <w:color w:val="auto"/>
                <w:kern w:val="28"/>
                <w:sz w:val="24"/>
                <w:highlight w:val="none"/>
                <w:lang w:eastAsia="zh-CN"/>
              </w:rPr>
              <w:t>（</w:t>
            </w:r>
            <w:r>
              <w:rPr>
                <w:rFonts w:hint="eastAsia" w:cs="Times New Roman"/>
                <w:color w:val="auto"/>
                <w:kern w:val="28"/>
                <w:sz w:val="24"/>
                <w:highlight w:val="none"/>
                <w:lang w:val="en-US" w:eastAsia="zh-CN"/>
              </w:rPr>
              <w:t>5</w:t>
            </w:r>
            <w:r>
              <w:rPr>
                <w:rFonts w:hint="default" w:ascii="Times New Roman" w:hAnsi="Times New Roman" w:cs="Times New Roman"/>
                <w:color w:val="auto"/>
                <w:kern w:val="28"/>
                <w:sz w:val="24"/>
                <w:highlight w:val="none"/>
                <w:lang w:eastAsia="zh-CN"/>
              </w:rPr>
              <w:t>）</w:t>
            </w:r>
            <w:r>
              <w:rPr>
                <w:rFonts w:hint="default" w:ascii="Times New Roman" w:hAnsi="Times New Roman" w:cs="Times New Roman"/>
                <w:color w:val="auto"/>
                <w:kern w:val="28"/>
                <w:sz w:val="24"/>
                <w:highlight w:val="none"/>
              </w:rPr>
              <w:t>应急要求</w:t>
            </w:r>
            <w:r>
              <w:rPr>
                <w:rFonts w:hint="eastAsia" w:cs="Times New Roman"/>
                <w:color w:val="auto"/>
                <w:kern w:val="28"/>
                <w:sz w:val="24"/>
                <w:highlight w:val="none"/>
                <w:lang w:val="en-US" w:eastAsia="zh-CN"/>
              </w:rPr>
              <w:t>及管理制度</w:t>
            </w:r>
          </w:p>
          <w:p w14:paraId="387E86DD">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为使本项目环境风险减少到最低限度，</w:t>
            </w:r>
            <w:r>
              <w:rPr>
                <w:rFonts w:hint="default" w:ascii="Times New Roman" w:hAnsi="Times New Roman" w:cs="Times New Roman"/>
                <w:sz w:val="24"/>
                <w:szCs w:val="24"/>
                <w:lang w:val="en-US" w:eastAsia="zh-CN"/>
              </w:rPr>
              <w:t>企业</w:t>
            </w:r>
            <w:r>
              <w:rPr>
                <w:rFonts w:hint="default" w:ascii="Times New Roman" w:hAnsi="Times New Roman" w:cs="Times New Roman"/>
                <w:sz w:val="24"/>
                <w:szCs w:val="24"/>
              </w:rPr>
              <w:t>必须加强劳动安全卫生管理，制定完备、有效的</w:t>
            </w:r>
            <w:r>
              <w:rPr>
                <w:rFonts w:hint="eastAsia" w:cs="Times New Roman"/>
                <w:sz w:val="24"/>
                <w:szCs w:val="24"/>
                <w:lang w:val="en-US" w:eastAsia="zh-CN"/>
              </w:rPr>
              <w:t>环境</w:t>
            </w:r>
            <w:r>
              <w:rPr>
                <w:rFonts w:hint="default" w:ascii="Times New Roman" w:hAnsi="Times New Roman" w:cs="Times New Roman"/>
                <w:sz w:val="24"/>
                <w:szCs w:val="24"/>
              </w:rPr>
              <w:t>安全防范措施，尽可能降低本项目原辅料使用、储运过程和环保设施的风险事故发生概率。</w:t>
            </w:r>
          </w:p>
          <w:p w14:paraId="4C345DA2">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①严格按照防火规范进行平面布置，电气设备及仪表按防爆等级的不同选用不同的设备。设置明显的警示标志，并建立严格的值班保卫制度，防止人为蓄意破坏；制定应急操作规程，详细说明发生事故时应采取的操作步骤，规定抢修进度，限制事故影响。对重要仪器设备有完善的检查和维护记录；公司应加强对员工及新进厂员工的工艺操作规程、安全操作规程等培训，并取得相应的合格证书或上岗证。工厂工艺技术尽量应用自动化、密闭化及远程化控制手段，在仪表控制系统尽量使用连锁、声光、报警等事故应急系统。</w:t>
            </w:r>
          </w:p>
          <w:p w14:paraId="5E08889C">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lang w:val="en-US" w:eastAsia="zh-CN"/>
              </w:rPr>
              <w:t>②</w:t>
            </w:r>
            <w:r>
              <w:rPr>
                <w:rFonts w:hint="default" w:ascii="Times New Roman" w:hAnsi="Times New Roman" w:cs="Times New Roman"/>
                <w:sz w:val="24"/>
                <w:szCs w:val="24"/>
              </w:rPr>
              <w:t>原料贮运安全防范措施</w:t>
            </w:r>
          </w:p>
          <w:p w14:paraId="518AED9A">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储存于阴凉、通风的库房。项目的易爆物品分类堆放，不可随意堆放；项目易燃物品的堆放应远离火种，不可设置在高温地点，避免达到易燃品的着火点而使易燃品自燃；包装要求密封，不可与空气接触。不宜大量储存或久存。采用防爆型照明、通风设施。应备有泄漏应急处理设备和合适的收容材料。增加工作人员的安全防患意识，不可在易燃品堆放处使用明火</w:t>
            </w:r>
            <w:r>
              <w:rPr>
                <w:rFonts w:hint="default" w:ascii="Times New Roman" w:hAnsi="Times New Roman" w:cs="Times New Roman"/>
                <w:sz w:val="24"/>
                <w:szCs w:val="24"/>
                <w:lang w:eastAsia="zh-CN"/>
              </w:rPr>
              <w:t>：</w:t>
            </w:r>
            <w:r>
              <w:rPr>
                <w:rFonts w:hint="default" w:ascii="Times New Roman" w:hAnsi="Times New Roman" w:cs="Times New Roman"/>
                <w:sz w:val="24"/>
                <w:szCs w:val="24"/>
              </w:rPr>
              <w:t>加强对员工的环保安全知识教育和培训，健全环保安全管理组织机构。</w:t>
            </w:r>
          </w:p>
          <w:p w14:paraId="5B6C764E">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③泄漏应急处理</w:t>
            </w:r>
          </w:p>
          <w:p w14:paraId="463FABAA">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迅速撤离泄漏污染区人员至上风处，并进行隔离，严格限制出入。切断火源，切断泄漏源，用工业覆盖层或吸附/吸收剂盖住泄漏点附近的下水道等地方，防止气体、液体进入。合理通风，加速扩散。</w:t>
            </w:r>
          </w:p>
          <w:p w14:paraId="104B79ED">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④消防及火灾报警系统</w:t>
            </w:r>
          </w:p>
          <w:p w14:paraId="74A06892">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项目在运营过程可能发生火灾，火灾事故过程中会产生大量的有毒有害气体，会造成窒息、中毒等事故，若发生火灾爆炸事故，可能造成人员伤亡及财产损失等严重后果，同时在灭火过程中产生大量的消防水并携带相关的污染物，因此本项目在运营过程需要做好火灾的预防工作和发生火灾之后的应急预防工作。</w:t>
            </w:r>
          </w:p>
          <w:p w14:paraId="453F6C19">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根据《建筑灭火器配置设计规范》</w:t>
            </w:r>
            <w:r>
              <w:rPr>
                <w:rFonts w:hint="default" w:ascii="Times New Roman" w:hAnsi="Times New Roman" w:cs="Times New Roman"/>
                <w:sz w:val="24"/>
                <w:szCs w:val="24"/>
                <w:lang w:eastAsia="zh-CN"/>
              </w:rPr>
              <w:t>（</w:t>
            </w:r>
            <w:r>
              <w:rPr>
                <w:rFonts w:hint="default" w:ascii="Times New Roman" w:hAnsi="Times New Roman" w:cs="Times New Roman"/>
                <w:sz w:val="24"/>
                <w:szCs w:val="24"/>
              </w:rPr>
              <w:t>GB</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50140-2005</w:t>
            </w:r>
            <w:r>
              <w:rPr>
                <w:rFonts w:hint="default" w:ascii="Times New Roman" w:hAnsi="Times New Roman" w:cs="Times New Roman"/>
                <w:sz w:val="24"/>
                <w:szCs w:val="24"/>
                <w:lang w:eastAsia="zh-CN"/>
              </w:rPr>
              <w:t>）</w:t>
            </w:r>
            <w:r>
              <w:rPr>
                <w:rFonts w:hint="default" w:ascii="Times New Roman" w:hAnsi="Times New Roman" w:cs="Times New Roman"/>
                <w:sz w:val="24"/>
                <w:szCs w:val="24"/>
              </w:rPr>
              <w:t>和《建筑设计防火规范</w:t>
            </w:r>
            <w:r>
              <w:rPr>
                <w:rFonts w:hint="default" w:ascii="Times New Roman" w:hAnsi="Times New Roman" w:cs="Times New Roman"/>
                <w:sz w:val="24"/>
                <w:szCs w:val="24"/>
                <w:lang w:eastAsia="zh-CN"/>
              </w:rPr>
              <w:t>》</w:t>
            </w:r>
            <w:r>
              <w:rPr>
                <w:rFonts w:hint="default" w:ascii="Times New Roman" w:hAnsi="Times New Roman" w:cs="Times New Roman"/>
                <w:sz w:val="24"/>
                <w:szCs w:val="24"/>
              </w:rPr>
              <w:t>GB</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50016-2014</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2018年版</w:t>
            </w:r>
            <w:r>
              <w:rPr>
                <w:rFonts w:hint="default" w:ascii="Times New Roman" w:hAnsi="Times New Roman" w:cs="Times New Roman"/>
                <w:sz w:val="24"/>
                <w:szCs w:val="24"/>
                <w:lang w:eastAsia="zh-CN"/>
              </w:rPr>
              <w:t>）</w:t>
            </w:r>
            <w:r>
              <w:rPr>
                <w:rFonts w:hint="default" w:ascii="Times New Roman" w:hAnsi="Times New Roman" w:cs="Times New Roman"/>
                <w:sz w:val="24"/>
                <w:szCs w:val="24"/>
              </w:rPr>
              <w:t>的规定，生产车间、公用工程、原料存储区等场所</w:t>
            </w:r>
            <w:r>
              <w:rPr>
                <w:rFonts w:hint="default" w:ascii="Times New Roman" w:hAnsi="Times New Roman" w:cs="Times New Roman"/>
                <w:color w:val="FF0000"/>
                <w:sz w:val="24"/>
                <w:szCs w:val="24"/>
              </w:rPr>
              <w:t>应配置足量的</w:t>
            </w:r>
            <w:r>
              <w:rPr>
                <w:rFonts w:hint="eastAsia" w:cs="Times New Roman"/>
                <w:color w:val="FF0000"/>
                <w:sz w:val="24"/>
                <w:szCs w:val="24"/>
                <w:lang w:val="en-US" w:eastAsia="zh-CN"/>
              </w:rPr>
              <w:t>二氧化碳、</w:t>
            </w:r>
            <w:r>
              <w:rPr>
                <w:rFonts w:hint="default" w:ascii="Times New Roman" w:hAnsi="Times New Roman" w:cs="Times New Roman"/>
                <w:color w:val="FF0000"/>
                <w:sz w:val="24"/>
                <w:szCs w:val="24"/>
              </w:rPr>
              <w:t>泡沫</w:t>
            </w:r>
            <w:r>
              <w:rPr>
                <w:rFonts w:hint="eastAsia" w:cs="Times New Roman"/>
                <w:color w:val="FF0000"/>
                <w:sz w:val="24"/>
                <w:szCs w:val="24"/>
                <w:lang w:eastAsia="zh-CN"/>
              </w:rPr>
              <w:t>、</w:t>
            </w:r>
            <w:r>
              <w:rPr>
                <w:rFonts w:hint="default" w:ascii="Times New Roman" w:hAnsi="Times New Roman" w:cs="Times New Roman"/>
                <w:color w:val="FF0000"/>
                <w:sz w:val="24"/>
                <w:szCs w:val="24"/>
              </w:rPr>
              <w:t>干粉等</w:t>
            </w:r>
            <w:r>
              <w:rPr>
                <w:rFonts w:hint="eastAsia" w:cs="Times New Roman"/>
                <w:color w:val="FF0000"/>
                <w:sz w:val="24"/>
                <w:szCs w:val="24"/>
                <w:lang w:val="en-US" w:eastAsia="zh-CN"/>
              </w:rPr>
              <w:t>类型</w:t>
            </w:r>
            <w:r>
              <w:rPr>
                <w:rFonts w:hint="default" w:ascii="Times New Roman" w:hAnsi="Times New Roman" w:cs="Times New Roman"/>
                <w:color w:val="FF0000"/>
                <w:sz w:val="24"/>
                <w:szCs w:val="24"/>
              </w:rPr>
              <w:t>灭火器</w:t>
            </w:r>
            <w:r>
              <w:rPr>
                <w:rFonts w:hint="default" w:ascii="Times New Roman" w:hAnsi="Times New Roman" w:cs="Times New Roman"/>
                <w:sz w:val="24"/>
                <w:szCs w:val="24"/>
              </w:rPr>
              <w:t>，并保持完好状态。厂区消防管道应为环状布置，在生产车间、贮存场所等公用工程设施室内设置符合要求的消火栓。在车间应设自动灭火系统</w:t>
            </w:r>
            <w:r>
              <w:rPr>
                <w:rFonts w:hint="default" w:ascii="Times New Roman" w:hAnsi="Times New Roman" w:cs="Times New Roman"/>
                <w:sz w:val="24"/>
                <w:szCs w:val="24"/>
                <w:lang w:eastAsia="zh-CN"/>
              </w:rPr>
              <w:t>：</w:t>
            </w:r>
            <w:r>
              <w:rPr>
                <w:rFonts w:hint="default" w:ascii="Times New Roman" w:hAnsi="Times New Roman" w:cs="Times New Roman"/>
                <w:sz w:val="24"/>
                <w:szCs w:val="24"/>
              </w:rPr>
              <w:t>工厂工艺技术尽量应用自动化、密闭化及远程化控制手段，在仪表控制系统尽 量使用连锁、声光、报警等事故应急系统。生产车间、原料库、成品库等电气装置和照明设施应满足各危险场所的防爆要求，并设置应急电源和应急照明。</w:t>
            </w:r>
          </w:p>
          <w:p w14:paraId="263E7812">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⑤安全辨识管控</w:t>
            </w:r>
          </w:p>
          <w:p w14:paraId="3C593D86">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企业应对危废仓库开展安全风险辨识管控，要健全内部污染防治设施稳定运行和管理责任制度，严格依据标准规范建设环境治理设施，确保环境治理设施安全、稳定、有效运行。</w:t>
            </w:r>
          </w:p>
          <w:p w14:paraId="0E951550">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⑥风险应急物资配备工作人员需配备有防护服、劳保用品等，车间、仓库等场所向配置足量的灭火器，厂区周围和车间需有视频监控装置，厂区配备有足够的应急设施。应急物资应专人负责管理和维护，专物专用，除抢险救灾外，严禁挪作他用，消防器材要经常检查保养，定期更换药剂，定点摆放，便于取用，应急物资必须立标志牌，物资上下不得遮盖、堆放其他物品，保持通道畅通，并设立严禁烟花、污水排放口、一般固体废弃物、安全通道、灭火器及消防栓等主要警示牌。设立厂内急救指挥小组，并和当地事故应急救援部门建立正常联系，一旦出现事故能立刻采取有效救援措施。本项目厂区废水排放口设截止设施，事故状态时，及时切断废水外流通道，以确保事故状态时废水不外排。</w:t>
            </w:r>
          </w:p>
          <w:p w14:paraId="371F997E">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⑦事故应急池的设计和尺寸要求</w:t>
            </w:r>
          </w:p>
          <w:p w14:paraId="79808BC5">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根据《水体污染防控紧急措施设计导则》（中国石化建标[2006]43号)，事故储存设施总有效容积：</w:t>
            </w:r>
          </w:p>
          <w:p w14:paraId="33C243ED">
            <w:pPr>
              <w:pStyle w:val="29"/>
              <w:spacing w:line="36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总</w:t>
            </w:r>
            <w:r>
              <w:rPr>
                <w:rFonts w:hint="default" w:ascii="Times New Roman" w:hAnsi="Times New Roman" w:cs="Times New Roman"/>
                <w:sz w:val="24"/>
                <w:szCs w:val="24"/>
                <w:vertAlign w:val="subscript"/>
                <w:lang w:val="en-US" w:eastAsia="zh-CN"/>
              </w:rPr>
              <w:t>=</w:t>
            </w: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)max+V</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5</w:t>
            </w:r>
          </w:p>
          <w:p w14:paraId="757461B5">
            <w:pPr>
              <w:pStyle w:val="29"/>
              <w:spacing w:line="360" w:lineRule="auto"/>
              <w:ind w:left="479" w:leftChars="228" w:firstLine="0" w:firstLineChars="0"/>
              <w:rPr>
                <w:rFonts w:hint="default" w:ascii="Times New Roman" w:hAnsi="Times New Roman" w:cs="Times New Roman"/>
                <w:sz w:val="24"/>
                <w:szCs w:val="24"/>
                <w:lang w:eastAsia="zh-CN"/>
              </w:rPr>
            </w:pPr>
            <w:r>
              <w:rPr>
                <w:rFonts w:hint="default" w:ascii="Times New Roman" w:hAnsi="Times New Roman" w:cs="Times New Roman"/>
                <w:sz w:val="24"/>
                <w:szCs w:val="24"/>
              </w:rPr>
              <w:t>式中</w:t>
            </w:r>
            <w:r>
              <w:rPr>
                <w:rFonts w:hint="default" w:ascii="Times New Roman" w:hAnsi="Times New Roman" w:cs="Times New Roman"/>
                <w:sz w:val="24"/>
                <w:szCs w:val="24"/>
                <w:lang w:eastAsia="zh-CN"/>
              </w:rPr>
              <w:t>：</w:t>
            </w:r>
          </w:p>
          <w:p w14:paraId="0439695D">
            <w:pPr>
              <w:pStyle w:val="29"/>
              <w:spacing w:line="360" w:lineRule="auto"/>
              <w:ind w:left="479" w:leftChars="228" w:firstLine="0" w:firstLineChars="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1</w:t>
            </w:r>
            <w:r>
              <w:rPr>
                <w:rFonts w:hint="eastAsia" w:ascii="Times New Roman" w:hAnsi="Times New Roman" w:cs="Times New Roman"/>
                <w:sz w:val="24"/>
                <w:szCs w:val="24"/>
                <w:vertAlign w:val="baseline"/>
                <w:lang w:eastAsia="zh-CN"/>
              </w:rPr>
              <w:t>：</w:t>
            </w:r>
            <w:r>
              <w:rPr>
                <w:rFonts w:hint="default" w:ascii="Times New Roman" w:hAnsi="Times New Roman" w:cs="Times New Roman"/>
                <w:sz w:val="24"/>
                <w:szCs w:val="24"/>
              </w:rPr>
              <w:t>收集系统范围内发生事故的一个罐组或一套装置的物料量；</w:t>
            </w:r>
          </w:p>
          <w:p w14:paraId="615166FE">
            <w:pPr>
              <w:pStyle w:val="29"/>
              <w:spacing w:line="360" w:lineRule="auto"/>
              <w:ind w:left="479" w:leftChars="228" w:firstLine="0" w:firstLineChars="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2</w:t>
            </w:r>
            <w:r>
              <w:rPr>
                <w:rFonts w:hint="eastAsia" w:ascii="Times New Roman" w:hAnsi="Times New Roman" w:cs="Times New Roman"/>
                <w:sz w:val="24"/>
                <w:szCs w:val="24"/>
                <w:vertAlign w:val="baseline"/>
                <w:lang w:eastAsia="zh-CN"/>
              </w:rPr>
              <w:t>：</w:t>
            </w:r>
            <w:r>
              <w:rPr>
                <w:rFonts w:hint="default" w:ascii="Times New Roman" w:hAnsi="Times New Roman" w:cs="Times New Roman"/>
                <w:sz w:val="24"/>
                <w:szCs w:val="24"/>
              </w:rPr>
              <w:t>发生事故的储罐或装置的消防水量，</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cs="Times New Roman"/>
                <w:sz w:val="24"/>
                <w:szCs w:val="24"/>
              </w:rPr>
              <w:t>；</w:t>
            </w:r>
          </w:p>
          <w:p w14:paraId="043BB45D">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3</w:t>
            </w:r>
            <w:r>
              <w:rPr>
                <w:rFonts w:hint="eastAsia" w:ascii="Times New Roman" w:hAnsi="Times New Roman" w:cs="Times New Roman"/>
                <w:sz w:val="24"/>
                <w:szCs w:val="24"/>
                <w:vertAlign w:val="baseline"/>
                <w:lang w:eastAsia="zh-CN"/>
              </w:rPr>
              <w:t>：</w:t>
            </w:r>
            <w:r>
              <w:rPr>
                <w:rFonts w:hint="default" w:ascii="Times New Roman" w:hAnsi="Times New Roman" w:cs="Times New Roman"/>
                <w:sz w:val="24"/>
                <w:szCs w:val="24"/>
              </w:rPr>
              <w:t>发生事故时可以转输到其他储存或处理设施的物料量</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cs="Times New Roman"/>
                <w:sz w:val="24"/>
                <w:szCs w:val="24"/>
              </w:rPr>
              <w:t>；</w:t>
            </w:r>
          </w:p>
          <w:p w14:paraId="6BA8ACCF">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4</w:t>
            </w:r>
            <w:r>
              <w:rPr>
                <w:rFonts w:hint="eastAsia" w:ascii="Times New Roman" w:hAnsi="Times New Roman" w:cs="Times New Roman"/>
                <w:sz w:val="24"/>
                <w:szCs w:val="24"/>
                <w:vertAlign w:val="baseline"/>
                <w:lang w:eastAsia="zh-CN"/>
              </w:rPr>
              <w:t>：</w:t>
            </w:r>
            <w:r>
              <w:rPr>
                <w:rFonts w:hint="default" w:ascii="Times New Roman" w:hAnsi="Times New Roman" w:cs="Times New Roman"/>
                <w:sz w:val="24"/>
                <w:szCs w:val="24"/>
              </w:rPr>
              <w:t>发生事故时仍必须进入该收集系统的生产废水量，</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cs="Times New Roman"/>
                <w:sz w:val="24"/>
                <w:szCs w:val="24"/>
              </w:rPr>
              <w:t>；</w:t>
            </w:r>
          </w:p>
          <w:p w14:paraId="76B410D7">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5</w:t>
            </w:r>
            <w:r>
              <w:rPr>
                <w:rFonts w:hint="eastAsia" w:ascii="Times New Roman" w:hAnsi="Times New Roman" w:cs="Times New Roman"/>
                <w:sz w:val="24"/>
                <w:szCs w:val="24"/>
                <w:vertAlign w:val="baseline"/>
                <w:lang w:eastAsia="zh-CN"/>
              </w:rPr>
              <w:t>：</w:t>
            </w:r>
            <w:r>
              <w:rPr>
                <w:rFonts w:hint="default" w:ascii="Times New Roman" w:hAnsi="Times New Roman" w:cs="Times New Roman"/>
                <w:sz w:val="24"/>
                <w:szCs w:val="24"/>
              </w:rPr>
              <w:t>发生事故时可能进入该收集系统的降雨量，</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cs="Times New Roman"/>
                <w:sz w:val="24"/>
                <w:szCs w:val="24"/>
              </w:rPr>
              <w:t>；</w:t>
            </w:r>
          </w:p>
          <w:p w14:paraId="5951D1FA">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事故池容量计算如下：</w:t>
            </w:r>
          </w:p>
          <w:p w14:paraId="7E58F700">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：本项目物料储存分散且均储存在桶内，容积较小，故V</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不予以考虑，V</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=0；</w:t>
            </w:r>
          </w:p>
          <w:p w14:paraId="106208C7">
            <w:pPr>
              <w:pStyle w:val="29"/>
              <w:spacing w:line="360"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V</w:t>
            </w:r>
            <w:r>
              <w:rPr>
                <w:rFonts w:hint="default" w:ascii="Times New Roman" w:hAnsi="Times New Roman" w:cs="Times New Roman"/>
                <w:color w:val="0000FF"/>
                <w:sz w:val="24"/>
                <w:szCs w:val="24"/>
                <w:vertAlign w:val="subscript"/>
              </w:rPr>
              <w:t>2</w:t>
            </w:r>
            <w:r>
              <w:rPr>
                <w:rFonts w:hint="default" w:ascii="Times New Roman" w:hAnsi="Times New Roman" w:cs="Times New Roman"/>
                <w:color w:val="0000FF"/>
                <w:sz w:val="24"/>
                <w:szCs w:val="24"/>
              </w:rPr>
              <w:t>：根据《消防给水及消火栓系统技术规范》(GB50974-2014)，发生火灾时消防给水一起火灾灭火用水量应按需要同时作用的室内、外消防给水用水量之和计算</w:t>
            </w:r>
            <w:r>
              <w:rPr>
                <w:rFonts w:hint="eastAsia" w:cs="Times New Roman"/>
                <w:color w:val="0000FF"/>
                <w:sz w:val="24"/>
                <w:szCs w:val="24"/>
                <w:lang w:eastAsia="zh-CN"/>
              </w:rPr>
              <w:t>，</w:t>
            </w:r>
            <w:r>
              <w:rPr>
                <w:rFonts w:hint="eastAsia" w:cs="Times New Roman"/>
                <w:color w:val="0000FF"/>
                <w:sz w:val="24"/>
                <w:szCs w:val="24"/>
                <w:lang w:val="en-US" w:eastAsia="zh-CN"/>
              </w:rPr>
              <w:t>则</w:t>
            </w:r>
            <w:r>
              <w:rPr>
                <w:rFonts w:hint="default" w:ascii="Times New Roman" w:hAnsi="Times New Roman" w:cs="Times New Roman"/>
                <w:color w:val="0000FF"/>
                <w:sz w:val="24"/>
                <w:szCs w:val="24"/>
              </w:rPr>
              <w:t>最大消防水供应量</w:t>
            </w:r>
            <w:r>
              <w:rPr>
                <w:rFonts w:hint="eastAsia" w:cs="Times New Roman"/>
                <w:color w:val="0000FF"/>
                <w:sz w:val="24"/>
                <w:szCs w:val="24"/>
                <w:lang w:val="en-US" w:eastAsia="zh-CN"/>
              </w:rPr>
              <w:t>共2</w:t>
            </w:r>
            <w:r>
              <w:rPr>
                <w:rFonts w:hint="default" w:ascii="Times New Roman" w:hAnsi="Times New Roman" w:cs="Times New Roman"/>
                <w:color w:val="0000FF"/>
                <w:sz w:val="24"/>
                <w:szCs w:val="24"/>
              </w:rPr>
              <w:t>5L/s(供给时间以2小时计)，一次最大消防水用量，V</w:t>
            </w:r>
            <w:r>
              <w:rPr>
                <w:rFonts w:hint="default" w:ascii="Times New Roman" w:hAnsi="Times New Roman" w:cs="Times New Roman"/>
                <w:color w:val="0000FF"/>
                <w:sz w:val="24"/>
                <w:szCs w:val="24"/>
                <w:vertAlign w:val="subscript"/>
              </w:rPr>
              <w:t>2</w:t>
            </w:r>
            <w:r>
              <w:rPr>
                <w:rFonts w:hint="default" w:ascii="Times New Roman" w:hAnsi="Times New Roman" w:cs="Times New Roman"/>
                <w:color w:val="0000FF"/>
                <w:sz w:val="24"/>
                <w:szCs w:val="24"/>
              </w:rPr>
              <w:t>=1</w:t>
            </w:r>
            <w:r>
              <w:rPr>
                <w:rFonts w:hint="eastAsia" w:cs="Times New Roman"/>
                <w:color w:val="0000FF"/>
                <w:sz w:val="24"/>
                <w:szCs w:val="24"/>
                <w:lang w:val="en-US" w:eastAsia="zh-CN"/>
              </w:rPr>
              <w:t>80</w:t>
            </w:r>
            <w:r>
              <w:rPr>
                <w:rFonts w:hint="default" w:ascii="Times New Roman" w:hAnsi="Times New Roman" w:cs="Times New Roman"/>
                <w:color w:val="0000FF"/>
                <w:sz w:val="24"/>
                <w:szCs w:val="24"/>
              </w:rPr>
              <w:t>m³；</w:t>
            </w:r>
          </w:p>
          <w:p w14:paraId="7CD0762C">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=0m³；V</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=0m³</w:t>
            </w:r>
          </w:p>
          <w:p w14:paraId="1DCC6E5E">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5</w:t>
            </w:r>
            <w:r>
              <w:rPr>
                <w:rFonts w:hint="eastAsia" w:ascii="Times New Roman" w:hAnsi="Times New Roman" w:cs="Times New Roman"/>
                <w:sz w:val="24"/>
                <w:szCs w:val="24"/>
                <w:vertAlign w:val="baseline"/>
                <w:lang w:eastAsia="zh-CN"/>
              </w:rPr>
              <w:t>：</w:t>
            </w:r>
            <w:r>
              <w:rPr>
                <w:rFonts w:hint="default" w:ascii="Times New Roman" w:hAnsi="Times New Roman" w:cs="Times New Roman"/>
                <w:sz w:val="24"/>
                <w:szCs w:val="24"/>
              </w:rPr>
              <w:t>发生事故时可能进入该系统的降雨量(Vs)</w:t>
            </w:r>
          </w:p>
          <w:p w14:paraId="2D86D15E">
            <w:pPr>
              <w:pStyle w:val="2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5</w:t>
            </w:r>
            <w:r>
              <w:rPr>
                <w:rFonts w:hint="default" w:ascii="Times New Roman" w:hAnsi="Times New Roman" w:cs="Times New Roman"/>
                <w:sz w:val="24"/>
                <w:szCs w:val="24"/>
              </w:rPr>
              <w:t>=10qF，</w:t>
            </w:r>
          </w:p>
          <w:p w14:paraId="66F83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 q 为降雨强度（mm），按平均日降雨量q＝8.52mm计算</w:t>
            </w:r>
          </w:p>
          <w:p w14:paraId="56DED2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F：必须进入事故废水收集系统的雨水汇水面积，事故状态下本项目</w:t>
            </w:r>
            <w:r>
              <w:rPr>
                <w:rFonts w:hint="eastAsia" w:cs="Times New Roman"/>
                <w:color w:val="auto"/>
                <w:sz w:val="24"/>
                <w:szCs w:val="24"/>
                <w:highlight w:val="none"/>
                <w:lang w:eastAsia="zh-CN"/>
              </w:rPr>
              <w:t>有效</w:t>
            </w:r>
            <w:r>
              <w:rPr>
                <w:rFonts w:hint="default" w:ascii="Times New Roman" w:hAnsi="Times New Roman" w:eastAsia="宋体" w:cs="Times New Roman"/>
                <w:color w:val="auto"/>
                <w:sz w:val="24"/>
                <w:szCs w:val="24"/>
                <w:highlight w:val="none"/>
              </w:rPr>
              <w:t>汇水面积约</w:t>
            </w:r>
            <w:r>
              <w:rPr>
                <w:rFonts w:hint="eastAsia" w:ascii="Times New Roman" w:hAnsi="Times New Roman" w:cs="Times New Roman"/>
                <w:sz w:val="24"/>
                <w:lang w:val="en-US" w:eastAsia="zh-CN"/>
              </w:rPr>
              <w:t>38000m</w:t>
            </w:r>
            <w:r>
              <w:rPr>
                <w:rFonts w:hint="eastAsia" w:ascii="Times New Roman" w:hAnsi="Times New Roman" w:cs="Times New Roman"/>
                <w:sz w:val="24"/>
                <w:vertAlign w:val="superscript"/>
                <w:lang w:val="en-US" w:eastAsia="zh-CN"/>
              </w:rPr>
              <w:t>2</w:t>
            </w:r>
            <w:r>
              <w:rPr>
                <w:rFonts w:hint="eastAsia" w:ascii="Times New Roman" w:hAnsi="Times New Roman" w:cs="Times New Roman"/>
                <w:sz w:val="24"/>
                <w:vertAlign w:val="baseline"/>
                <w:lang w:val="en-US" w:eastAsia="zh-CN"/>
              </w:rPr>
              <w:t>=3.8ha</w:t>
            </w:r>
            <w:r>
              <w:rPr>
                <w:rFonts w:hint="default" w:ascii="Times New Roman" w:hAnsi="Times New Roman" w:eastAsia="宋体" w:cs="Times New Roman"/>
                <w:color w:val="auto"/>
                <w:sz w:val="24"/>
                <w:szCs w:val="24"/>
                <w:highlight w:val="none"/>
              </w:rPr>
              <w:t>。</w:t>
            </w:r>
          </w:p>
          <w:p w14:paraId="5A0DE7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根据以上公式及参数计算，本项目V</w:t>
            </w:r>
            <w:r>
              <w:rPr>
                <w:rFonts w:hint="default" w:ascii="Times New Roman" w:hAnsi="Times New Roman" w:eastAsia="宋体" w:cs="Times New Roman"/>
                <w:color w:val="auto"/>
                <w:sz w:val="24"/>
                <w:szCs w:val="24"/>
                <w:highlight w:val="none"/>
                <w:vertAlign w:val="subscript"/>
              </w:rPr>
              <w:t>5</w:t>
            </w:r>
            <w:r>
              <w:rPr>
                <w:rFonts w:hint="default" w:ascii="Times New Roman" w:hAnsi="Times New Roman" w:eastAsia="宋体" w:cs="Times New Roman"/>
                <w:color w:val="auto"/>
                <w:sz w:val="24"/>
                <w:szCs w:val="24"/>
                <w:highlight w:val="none"/>
              </w:rPr>
              <w:t>取值为</w:t>
            </w:r>
            <w:r>
              <w:rPr>
                <w:rFonts w:hint="eastAsia" w:ascii="Times New Roman" w:hAnsi="Times New Roman" w:eastAsia="宋体" w:cs="Times New Roman"/>
                <w:color w:val="auto"/>
                <w:sz w:val="24"/>
                <w:szCs w:val="24"/>
                <w:highlight w:val="none"/>
                <w:lang w:val="en-US" w:eastAsia="zh-CN"/>
              </w:rPr>
              <w:t>323.76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14:paraId="63F302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sz w:val="24"/>
                <w:szCs w:val="24"/>
                <w:highlight w:val="none"/>
              </w:rPr>
              <w:t>经计算，</w:t>
            </w:r>
            <w:r>
              <w:rPr>
                <w:rFonts w:hint="default" w:ascii="Times New Roman" w:hAnsi="Times New Roman" w:eastAsia="宋体" w:cs="Times New Roman"/>
                <w:color w:val="0000FF"/>
                <w:sz w:val="24"/>
                <w:szCs w:val="24"/>
                <w:highlight w:val="none"/>
              </w:rPr>
              <w:fldChar w:fldCharType="begin"/>
            </w:r>
            <w:r>
              <w:rPr>
                <w:rFonts w:hint="default" w:ascii="Times New Roman" w:hAnsi="Times New Roman" w:eastAsia="宋体" w:cs="Times New Roman"/>
                <w:color w:val="0000FF"/>
                <w:sz w:val="24"/>
                <w:szCs w:val="24"/>
                <w:highlight w:val="none"/>
              </w:rPr>
              <w:instrText xml:space="preserve"> QUOTE </w:instrText>
            </w:r>
            <w:r>
              <w:rPr>
                <w:rFonts w:hint="default" w:ascii="Times New Roman" w:hAnsi="Times New Roman" w:eastAsia="宋体" w:cs="Times New Roman"/>
                <w:color w:val="0000FF"/>
                <w:sz w:val="24"/>
                <w:szCs w:val="24"/>
                <w:highlight w:val="none"/>
              </w:rPr>
              <w:drawing>
                <wp:inline distT="0" distB="0" distL="114300" distR="114300">
                  <wp:extent cx="6123940" cy="294640"/>
                  <wp:effectExtent l="0" t="0" r="0" b="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6123940" cy="294640"/>
                          </a:xfrm>
                          <a:prstGeom prst="rect">
                            <a:avLst/>
                          </a:prstGeom>
                          <a:noFill/>
                          <a:ln>
                            <a:noFill/>
                          </a:ln>
                        </pic:spPr>
                      </pic:pic>
                    </a:graphicData>
                  </a:graphic>
                </wp:inline>
              </w:drawing>
            </w:r>
            <w:r>
              <w:rPr>
                <w:rFonts w:hint="default" w:ascii="Times New Roman" w:hAnsi="Times New Roman" w:eastAsia="宋体" w:cs="Times New Roman"/>
                <w:color w:val="0000FF"/>
                <w:sz w:val="24"/>
                <w:szCs w:val="24"/>
                <w:highlight w:val="none"/>
              </w:rPr>
              <w:instrText xml:space="preserve"> </w:instrText>
            </w:r>
            <w:r>
              <w:rPr>
                <w:rFonts w:hint="default" w:ascii="Times New Roman" w:hAnsi="Times New Roman" w:eastAsia="宋体" w:cs="Times New Roman"/>
                <w:color w:val="0000FF"/>
                <w:sz w:val="24"/>
                <w:szCs w:val="24"/>
                <w:highlight w:val="none"/>
              </w:rPr>
              <w:fldChar w:fldCharType="separate"/>
            </w:r>
            <w:r>
              <w:rPr>
                <w:rFonts w:hint="default" w:ascii="Times New Roman" w:hAnsi="Times New Roman" w:eastAsia="宋体" w:cs="Times New Roman"/>
                <w:color w:val="0000FF"/>
                <w:sz w:val="24"/>
                <w:szCs w:val="24"/>
                <w:highlight w:val="none"/>
              </w:rPr>
              <w:t>V</w:t>
            </w:r>
            <w:r>
              <w:rPr>
                <w:rFonts w:hint="default" w:ascii="Times New Roman" w:hAnsi="Times New Roman" w:eastAsia="宋体" w:cs="Times New Roman"/>
                <w:color w:val="0000FF"/>
                <w:sz w:val="24"/>
                <w:szCs w:val="24"/>
                <w:highlight w:val="none"/>
                <w:vertAlign w:val="subscript"/>
              </w:rPr>
              <w:t>总</w:t>
            </w:r>
            <w:r>
              <w:rPr>
                <w:rFonts w:hint="default" w:ascii="Times New Roman" w:hAnsi="Times New Roman" w:eastAsia="宋体" w:cs="Times New Roman"/>
                <w:color w:val="0000FF"/>
                <w:sz w:val="24"/>
                <w:szCs w:val="24"/>
                <w:highlight w:val="none"/>
              </w:rPr>
              <w:t>=（V</w:t>
            </w:r>
            <w:r>
              <w:rPr>
                <w:rFonts w:hint="default" w:ascii="Times New Roman" w:hAnsi="Times New Roman" w:eastAsia="宋体" w:cs="Times New Roman"/>
                <w:color w:val="0000FF"/>
                <w:sz w:val="24"/>
                <w:szCs w:val="24"/>
                <w:highlight w:val="none"/>
                <w:vertAlign w:val="subscript"/>
              </w:rPr>
              <w:t>1</w:t>
            </w:r>
            <w:r>
              <w:rPr>
                <w:rFonts w:hint="default" w:ascii="Times New Roman" w:hAnsi="Times New Roman" w:eastAsia="宋体" w:cs="Times New Roman"/>
                <w:color w:val="0000FF"/>
                <w:sz w:val="24"/>
                <w:szCs w:val="24"/>
                <w:highlight w:val="none"/>
              </w:rPr>
              <w:t>+V</w:t>
            </w:r>
            <w:r>
              <w:rPr>
                <w:rFonts w:hint="default" w:ascii="Times New Roman" w:hAnsi="Times New Roman" w:eastAsia="宋体" w:cs="Times New Roman"/>
                <w:color w:val="0000FF"/>
                <w:sz w:val="24"/>
                <w:szCs w:val="24"/>
                <w:highlight w:val="none"/>
                <w:vertAlign w:val="subscript"/>
              </w:rPr>
              <w:t xml:space="preserve">2 </w:t>
            </w:r>
            <w:r>
              <w:rPr>
                <w:rFonts w:hint="default" w:ascii="Times New Roman" w:hAnsi="Times New Roman" w:eastAsia="宋体" w:cs="Times New Roman"/>
                <w:color w:val="0000FF"/>
                <w:sz w:val="24"/>
                <w:szCs w:val="24"/>
                <w:highlight w:val="none"/>
              </w:rPr>
              <w:t>-V</w:t>
            </w:r>
            <w:r>
              <w:rPr>
                <w:rFonts w:hint="default" w:ascii="Times New Roman" w:hAnsi="Times New Roman" w:eastAsia="宋体" w:cs="Times New Roman"/>
                <w:color w:val="0000FF"/>
                <w:sz w:val="24"/>
                <w:szCs w:val="24"/>
                <w:highlight w:val="none"/>
                <w:vertAlign w:val="subscript"/>
              </w:rPr>
              <w:t>3</w:t>
            </w:r>
            <w:r>
              <w:rPr>
                <w:rFonts w:hint="default" w:ascii="Times New Roman" w:hAnsi="Times New Roman" w:eastAsia="宋体" w:cs="Times New Roman"/>
                <w:color w:val="0000FF"/>
                <w:sz w:val="24"/>
                <w:szCs w:val="24"/>
                <w:highlight w:val="none"/>
              </w:rPr>
              <w:t>）max+V</w:t>
            </w:r>
            <w:r>
              <w:rPr>
                <w:rFonts w:hint="default" w:ascii="Times New Roman" w:hAnsi="Times New Roman" w:eastAsia="宋体" w:cs="Times New Roman"/>
                <w:color w:val="0000FF"/>
                <w:sz w:val="24"/>
                <w:szCs w:val="24"/>
                <w:highlight w:val="none"/>
                <w:vertAlign w:val="subscript"/>
              </w:rPr>
              <w:t>4</w:t>
            </w:r>
            <w:r>
              <w:rPr>
                <w:rFonts w:hint="default" w:ascii="Times New Roman" w:hAnsi="Times New Roman" w:eastAsia="宋体" w:cs="Times New Roman"/>
                <w:color w:val="0000FF"/>
                <w:sz w:val="24"/>
                <w:szCs w:val="24"/>
                <w:highlight w:val="none"/>
              </w:rPr>
              <w:t>+V</w:t>
            </w:r>
            <w:r>
              <w:rPr>
                <w:rFonts w:hint="default" w:ascii="Times New Roman" w:hAnsi="Times New Roman" w:eastAsia="宋体" w:cs="Times New Roman"/>
                <w:color w:val="0000FF"/>
                <w:sz w:val="24"/>
                <w:szCs w:val="24"/>
                <w:highlight w:val="none"/>
                <w:vertAlign w:val="subscript"/>
              </w:rPr>
              <w:t>5</w:t>
            </w:r>
            <w:r>
              <w:rPr>
                <w:rFonts w:hint="default" w:ascii="Times New Roman" w:hAnsi="Times New Roman" w:eastAsia="宋体" w:cs="Times New Roman"/>
                <w:color w:val="0000FF"/>
                <w:sz w:val="24"/>
                <w:szCs w:val="24"/>
                <w:highlight w:val="none"/>
                <w:vertAlign w:val="subscript"/>
              </w:rPr>
              <w:fldChar w:fldCharType="end"/>
            </w:r>
            <w:r>
              <w:rPr>
                <w:rFonts w:hint="default" w:ascii="Times New Roman" w:hAnsi="Times New Roman" w:eastAsia="宋体" w:cs="Times New Roman"/>
                <w:color w:val="0000FF"/>
                <w:sz w:val="24"/>
                <w:szCs w:val="24"/>
                <w:highlight w:val="none"/>
              </w:rPr>
              <w:t>＝</w:t>
            </w:r>
            <w:r>
              <w:rPr>
                <w:rFonts w:hint="eastAsia" w:ascii="Times New Roman" w:hAnsi="Times New Roman" w:eastAsia="宋体" w:cs="Times New Roman"/>
                <w:color w:val="0000FF"/>
                <w:sz w:val="24"/>
                <w:szCs w:val="24"/>
                <w:highlight w:val="none"/>
                <w:lang w:val="en-US" w:eastAsia="zh-CN"/>
              </w:rPr>
              <w:t>0</w:t>
            </w:r>
            <w:r>
              <w:rPr>
                <w:rFonts w:hint="default" w:ascii="Times New Roman" w:hAnsi="Times New Roman" w:eastAsia="宋体" w:cs="Times New Roman"/>
                <w:color w:val="0000FF"/>
                <w:sz w:val="24"/>
                <w:szCs w:val="24"/>
                <w:highlight w:val="none"/>
                <w:lang w:val="en-US" w:eastAsia="zh-CN"/>
              </w:rPr>
              <w:t>+</w:t>
            </w:r>
            <w:r>
              <w:rPr>
                <w:rFonts w:hint="eastAsia" w:cs="Times New Roman"/>
                <w:color w:val="0000FF"/>
                <w:sz w:val="24"/>
                <w:szCs w:val="24"/>
                <w:highlight w:val="none"/>
                <w:lang w:val="en-US" w:eastAsia="zh-CN"/>
              </w:rPr>
              <w:t>180</w:t>
            </w:r>
            <w:r>
              <w:rPr>
                <w:rFonts w:hint="default" w:ascii="Times New Roman" w:hAnsi="Times New Roman" w:eastAsia="宋体" w:cs="Times New Roman"/>
                <w:color w:val="0000FF"/>
                <w:sz w:val="24"/>
                <w:szCs w:val="24"/>
                <w:highlight w:val="none"/>
                <w:lang w:val="en-US" w:eastAsia="zh-CN"/>
              </w:rPr>
              <w:t>-</w:t>
            </w:r>
            <w:r>
              <w:rPr>
                <w:rFonts w:hint="eastAsia" w:ascii="Times New Roman" w:hAnsi="Times New Roman" w:eastAsia="宋体" w:cs="Times New Roman"/>
                <w:color w:val="0000FF"/>
                <w:sz w:val="24"/>
                <w:szCs w:val="24"/>
                <w:highlight w:val="none"/>
                <w:lang w:val="en-US" w:eastAsia="zh-CN"/>
              </w:rPr>
              <w:t>0</w:t>
            </w:r>
            <w:r>
              <w:rPr>
                <w:rFonts w:hint="default" w:ascii="Times New Roman" w:hAnsi="Times New Roman" w:eastAsia="宋体" w:cs="Times New Roman"/>
                <w:color w:val="0000FF"/>
                <w:sz w:val="24"/>
                <w:szCs w:val="24"/>
                <w:highlight w:val="none"/>
              </w:rPr>
              <w:t>+0+</w:t>
            </w:r>
            <w:r>
              <w:rPr>
                <w:rFonts w:hint="eastAsia" w:ascii="Times New Roman" w:hAnsi="Times New Roman" w:eastAsia="宋体" w:cs="Times New Roman"/>
                <w:color w:val="0000FF"/>
                <w:sz w:val="24"/>
                <w:szCs w:val="24"/>
                <w:highlight w:val="none"/>
                <w:lang w:val="en-US" w:eastAsia="zh-CN"/>
              </w:rPr>
              <w:t>323.76</w:t>
            </w:r>
            <w:r>
              <w:rPr>
                <w:rFonts w:hint="default" w:ascii="Times New Roman" w:hAnsi="Times New Roman" w:eastAsia="宋体" w:cs="Times New Roman"/>
                <w:color w:val="0000FF"/>
                <w:sz w:val="24"/>
                <w:szCs w:val="24"/>
                <w:highlight w:val="none"/>
              </w:rPr>
              <w:t>＝</w:t>
            </w:r>
            <w:r>
              <w:rPr>
                <w:rFonts w:hint="eastAsia" w:cs="Times New Roman"/>
                <w:color w:val="0000FF"/>
                <w:sz w:val="24"/>
                <w:szCs w:val="24"/>
                <w:highlight w:val="none"/>
                <w:lang w:val="en-US" w:eastAsia="zh-CN"/>
              </w:rPr>
              <w:t>503.76</w:t>
            </w:r>
            <w:r>
              <w:rPr>
                <w:rFonts w:hint="default" w:ascii="Times New Roman" w:hAnsi="Times New Roman" w:eastAsia="宋体" w:cs="Times New Roman"/>
                <w:color w:val="0000FF"/>
                <w:sz w:val="24"/>
                <w:szCs w:val="24"/>
                <w:highlight w:val="none"/>
              </w:rPr>
              <w:t>m</w:t>
            </w:r>
            <w:r>
              <w:rPr>
                <w:rFonts w:hint="default" w:ascii="Times New Roman" w:hAnsi="Times New Roman" w:eastAsia="宋体" w:cs="Times New Roman"/>
                <w:color w:val="0000FF"/>
                <w:sz w:val="24"/>
                <w:szCs w:val="24"/>
                <w:highlight w:val="none"/>
                <w:vertAlign w:val="superscript"/>
              </w:rPr>
              <w:t>3</w:t>
            </w:r>
            <w:r>
              <w:rPr>
                <w:rFonts w:hint="default" w:ascii="Times New Roman" w:hAnsi="Times New Roman" w:eastAsia="宋体" w:cs="Times New Roman"/>
                <w:color w:val="0000FF"/>
                <w:sz w:val="24"/>
                <w:szCs w:val="24"/>
                <w:highlight w:val="none"/>
              </w:rPr>
              <w:t>。</w:t>
            </w:r>
          </w:p>
          <w:p w14:paraId="2F7CFCF0">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厂区</w:t>
            </w:r>
            <w:r>
              <w:rPr>
                <w:rFonts w:hint="eastAsia" w:ascii="Times New Roman" w:hAnsi="Times New Roman" w:eastAsia="宋体" w:cs="Times New Roman"/>
                <w:color w:val="auto"/>
                <w:sz w:val="24"/>
                <w:szCs w:val="24"/>
                <w:highlight w:val="none"/>
                <w:lang w:val="en-US" w:eastAsia="zh-CN"/>
              </w:rPr>
              <w:t>依托原有的</w:t>
            </w:r>
            <w:r>
              <w:rPr>
                <w:rFonts w:hint="default" w:ascii="Times New Roman" w:hAnsi="Times New Roman" w:eastAsia="宋体" w:cs="Times New Roman"/>
                <w:color w:val="auto"/>
                <w:sz w:val="24"/>
                <w:szCs w:val="24"/>
                <w:highlight w:val="none"/>
              </w:rPr>
              <w:t>一座有效容积</w:t>
            </w:r>
            <w:r>
              <w:rPr>
                <w:rFonts w:hint="default" w:ascii="Times New Roman" w:hAnsi="Times New Roman" w:eastAsia="宋体" w:cs="Times New Roman"/>
                <w:color w:val="auto"/>
                <w:sz w:val="24"/>
                <w:szCs w:val="24"/>
                <w:highlight w:val="none"/>
                <w:lang w:val="en-US" w:eastAsia="zh-CN"/>
              </w:rPr>
              <w:t>为</w:t>
            </w:r>
            <w:r>
              <w:rPr>
                <w:rFonts w:hint="eastAsia" w:cs="Times New Roman"/>
                <w:color w:val="auto"/>
                <w:sz w:val="24"/>
                <w:szCs w:val="24"/>
                <w:highlight w:val="none"/>
                <w:lang w:val="en-US" w:eastAsia="zh-CN"/>
              </w:rPr>
              <w:t>1500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的事故应急池，</w:t>
            </w:r>
            <w:r>
              <w:rPr>
                <w:rFonts w:hint="default" w:ascii="Times New Roman" w:hAnsi="Times New Roman" w:eastAsia="宋体" w:cs="Times New Roman"/>
                <w:color w:val="auto"/>
                <w:sz w:val="24"/>
                <w:szCs w:val="24"/>
                <w:highlight w:val="none"/>
                <w:lang w:val="en-US" w:eastAsia="zh-CN"/>
              </w:rPr>
              <w:t>可以</w:t>
            </w:r>
            <w:r>
              <w:rPr>
                <w:rFonts w:hint="default" w:ascii="Times New Roman" w:hAnsi="Times New Roman" w:eastAsia="宋体" w:cs="Times New Roman"/>
                <w:color w:val="auto"/>
                <w:sz w:val="24"/>
                <w:szCs w:val="24"/>
                <w:highlight w:val="none"/>
              </w:rPr>
              <w:t>满足项目事故池设置要求。</w:t>
            </w:r>
          </w:p>
          <w:p w14:paraId="22A0F4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⑧火灾时二次污染物的防治措施</w:t>
            </w:r>
          </w:p>
          <w:p w14:paraId="7DDA38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32"/>
                <w:lang w:val="en-US" w:eastAsia="zh-CN" w:bidi="ar-SA"/>
              </w:rPr>
              <w:t>为控制和减少火灾时事故情况下二次污染物污染物从排水系统途径进入环境，建设单</w:t>
            </w:r>
            <w:r>
              <w:rPr>
                <w:rFonts w:hint="default" w:ascii="Times New Roman" w:hAnsi="Times New Roman" w:eastAsia="宋体" w:cs="Times New Roman"/>
                <w:color w:val="auto"/>
                <w:sz w:val="24"/>
                <w:szCs w:val="24"/>
                <w:highlight w:val="none"/>
              </w:rPr>
              <w:t>位制订事故状态下减少和消除污染物对水体环境污染的应对方案，建立污染源头、过程处理和最终排放的“三级防控”措施，污水、雨水系统等总排口前设立切断及切换设施。</w:t>
            </w:r>
          </w:p>
          <w:p w14:paraId="4289B2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一级防控措施</w:t>
            </w:r>
          </w:p>
          <w:p w14:paraId="6B94D2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一级防控体系的功能主要是将事故废水控制在事故风险源所在区域单元，该体系主要是由储罐区围堰、仓库导流沟、车间内废水收集池以及收集沟和管道等配套基础设施组成，防止污染雨水和轻微事故泄漏造成的环境污染。</w:t>
            </w:r>
          </w:p>
          <w:p w14:paraId="1C6165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二级防控措施</w:t>
            </w:r>
          </w:p>
          <w:p w14:paraId="7CDDAA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二级防控体系必须建设厂区应急事故水池、拦污坝及其配套设施（如事故导排系统），防止单套生产装置较大事故泄漏物料和消防废水造成的环境污染。事故应急池应在突发事故状态下拦截和收集厂区范围内的事故废水，避免其危害外部环境致使事故扩大化，因此事故应急池被视为企业的关键防控设施体系。事故应急池应必需具备以下基本属性要求：专一性，禁止他用；自流式，即进水方式不依赖动力；池容足够大；地下式，防蚀防渗。</w:t>
            </w:r>
          </w:p>
          <w:p w14:paraId="076F756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三级防控措施</w:t>
            </w:r>
          </w:p>
          <w:p w14:paraId="0C12F7DD">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第三级水环境风险防控体系是针对企业厂内防范能力有限而导致事故废水可能外溢出厂界的应急处理。企业可根据实际情况与其他临近企业实现资源共享和救援合作，增强事故废水的防范能力；若事故废水已无法控制在厂区范围内，并进入周围水体，园区将及时关闭闸坝，将污染控制在内河水体范围内，然后对受污染的水体进行处理。</w:t>
            </w:r>
          </w:p>
          <w:p w14:paraId="3F4D0A3B">
            <w:pPr>
              <w:pStyle w:val="29"/>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⑨</w:t>
            </w:r>
            <w:r>
              <w:rPr>
                <w:rFonts w:hint="default" w:ascii="Times New Roman" w:hAnsi="Times New Roman" w:cs="Times New Roman"/>
                <w:color w:val="auto"/>
                <w:sz w:val="24"/>
                <w:szCs w:val="24"/>
              </w:rPr>
              <w:t>危化品的贮存、运输设施的风险防范措施</w:t>
            </w:r>
          </w:p>
          <w:p w14:paraId="7533C1D6">
            <w:pPr>
              <w:pStyle w:val="29"/>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本项目研发实验室所用试剂应按照化学品的特性与危险性分类储存于实验室区域的防爆柜内。</w:t>
            </w:r>
          </w:p>
          <w:p w14:paraId="50C9E2F0">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※防爆柜应放置在平整地面，经常打扫，地面无漏撒物品，保持地面清洁卫生。</w:t>
            </w:r>
          </w:p>
          <w:p w14:paraId="658F7DBA">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※化学品储存场合应设立安全警示标志。防爆柜内存储化学品均应有安全技术阐明书，并进行张贴公示。化学品使用人员应熟悉储存危险化学品种类、物性、储存地点、事故解决程序及办法。</w:t>
            </w:r>
          </w:p>
          <w:p w14:paraId="20DC3120">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※防爆柜储存场合温度、湿度应严格控制，保证干燥、通风、避光，远离火源热源、电源并经常检查，发现变化及时调节。</w:t>
            </w:r>
          </w:p>
          <w:p w14:paraId="0CF7CB2C">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※燃油车、电瓶车不得在化学品储存区5米范畴内停放或通行。</w:t>
            </w:r>
          </w:p>
          <w:p w14:paraId="7D298513">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※将化学品放置到防爆柜内时，应严格检查物品质量、数量、包装状况有无泄露。</w:t>
            </w:r>
          </w:p>
          <w:p w14:paraId="1279F642">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※防爆柜应可靠接地，以便及时导走柜体所积聚静电。</w:t>
            </w:r>
          </w:p>
          <w:p w14:paraId="134B47DC">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※防爆柜层板上所放置物品不能超过层板承重极限。层板若有多层，在放置物品时，应当将较大或较重物品放在下面层板上，将较小或较轻物品放在上面层板。</w:t>
            </w:r>
          </w:p>
          <w:p w14:paraId="6024767E">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※应打开位于防爆柜两侧排气口，以排除因挥发而在柜体内积聚易燃液体。</w:t>
            </w:r>
          </w:p>
          <w:p w14:paraId="73C3FDD1">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※禁止在柜体附近使用打火机、动火、切割等任何可能引起燃烧爆炸操作行为。</w:t>
            </w:r>
          </w:p>
          <w:p w14:paraId="2BD63DE3">
            <w:pPr>
              <w:pStyle w:val="29"/>
              <w:spacing w:line="36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※禁止在柜子存储场合吸烟、乱扔烟火或丢弃其它正在燃烧的物体。</w:t>
            </w:r>
          </w:p>
          <w:p w14:paraId="37A191FD">
            <w:pPr>
              <w:pStyle w:val="29"/>
              <w:spacing w:line="360" w:lineRule="auto"/>
              <w:ind w:firstLine="0" w:firstLineChars="0"/>
              <w:rPr>
                <w:rFonts w:hint="default" w:ascii="Times New Roman" w:hAnsi="Times New Roman" w:cs="Times New Roman"/>
              </w:rPr>
            </w:pPr>
            <w:r>
              <w:rPr>
                <w:rFonts w:hint="default" w:ascii="Times New Roman" w:hAnsi="Times New Roman" w:cs="Times New Roman"/>
                <w:color w:val="auto"/>
                <w:sz w:val="24"/>
                <w:szCs w:val="24"/>
              </w:rPr>
              <w:t>※任何人不得损坏柜体上安装任何门锁或强行开锁，保护好柜体、防止碰撞、刮擦或腐蚀性化学液体对柜体喷溅，以免碰伤碰坏柜体或破坏柜体上涂层。</w:t>
            </w:r>
          </w:p>
          <w:p w14:paraId="7F5A34A6">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）突发环境事件应急预案</w:t>
            </w:r>
          </w:p>
          <w:p w14:paraId="5EBCE177">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项目建成后，建设单位试生产前须按照江苏省地方标准《企事业单位和工业园区交发环编事件应急预案编制导则(DB3795-2020))的要求编制环境风险事放应急预案(应包括专项预案、现场处置预案、现场应急处置卡等内容)并申报备案，并定期组织学习事放应急预案和演练，根据演习情况结合实际对预案进行适当修改，应急队伍要进行专业培训，并要有培训记录和档案，同时，加强各应急救援专业队伍的建设，配有相应器材并确保设备性能完好，一旦风险事故发生，立即启动应急预案，应急指挥系统就位。保证通讯畅通，深入现场，迅速准确报警和通知相关部门，请求应急救援，防止事故扩大、迅速遏制泄漏物进入环境。本项目的应急预案应与区域突发环境事故应急预案相联动，按照“企业自救、属地为主”的原则，一旦发生环境污染事故。企业可立即进行自救，采取一切措施控制事态发展，并及时向地方人民政府报告，超出本企业应急处理能力时，应启动上一级预案，由地方政府动用社会应急救援力量，实行分级管理、分级响应和联动，充分发挥地方政府职能作用和各部门的专业优势，加强各部门的协同和合作，提高快速应对能力。</w:t>
            </w:r>
          </w:p>
          <w:p w14:paraId="316AE5B8">
            <w:pPr>
              <w:pStyle w:val="29"/>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eastAsia="宋体" w:cs="Times New Roman"/>
                <w:kern w:val="2"/>
                <w:sz w:val="24"/>
                <w:szCs w:val="24"/>
                <w:lang w:val="en-US" w:eastAsia="zh-CN" w:bidi="ar-SA"/>
              </w:rPr>
              <w:t>（7）</w:t>
            </w:r>
            <w:r>
              <w:rPr>
                <w:rFonts w:hint="default" w:ascii="Times New Roman" w:hAnsi="Times New Roman" w:cs="Times New Roman"/>
                <w:sz w:val="24"/>
                <w:szCs w:val="24"/>
              </w:rPr>
              <w:t>建设和验收阶段。</w:t>
            </w:r>
          </w:p>
          <w:p w14:paraId="251BE300">
            <w:pPr>
              <w:pStyle w:val="29"/>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建设单位应严格按照设计方案和相关施工技术标准、规范施工。建设项目竣工后，建设单位应当按照法律、法规规定的标准和程序，对环保设施进行验收，确保环保设施符合生态环境和安全生产要求，并形成书面报告。</w:t>
            </w:r>
          </w:p>
          <w:p w14:paraId="51435ADE">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cs="Times New Roman"/>
                <w:sz w:val="24"/>
                <w:szCs w:val="24"/>
                <w:lang w:val="en-US" w:eastAsia="zh-CN"/>
              </w:rPr>
              <w:t>8</w:t>
            </w:r>
            <w:r>
              <w:rPr>
                <w:rFonts w:hint="default" w:ascii="Times New Roman" w:hAnsi="Times New Roman" w:cs="Times New Roman"/>
                <w:sz w:val="24"/>
                <w:szCs w:val="24"/>
              </w:rPr>
              <w:t>）环境风险评价结论</w:t>
            </w:r>
          </w:p>
          <w:p w14:paraId="44C7F528">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一般情况下，发生环境风险事故几率较小，为进一步减少风险产生的几率，避免风险情况的出现，车间应加强风险管理，提高风险防范意识，制定应急预案，减轻风险况造成的危害程度，发生的环境风险可以控制在较低的水平，本项目的事故风险处于可接收水平。</w:t>
            </w:r>
          </w:p>
          <w:p w14:paraId="7F254746">
            <w:pPr>
              <w:pStyle w:val="37"/>
              <w:bidi w:val="0"/>
              <w:rPr>
                <w:rFonts w:hint="default" w:ascii="Times New Roman" w:hAnsi="Times New Roman" w:cs="Times New Roman"/>
              </w:rPr>
            </w:pPr>
            <w:r>
              <w:rPr>
                <w:rFonts w:hint="default" w:ascii="Times New Roman" w:hAnsi="Times New Roman" w:cs="Times New Roman"/>
              </w:rPr>
              <w:t>表4</w:t>
            </w:r>
            <w:r>
              <w:rPr>
                <w:rFonts w:hint="default" w:ascii="Times New Roman" w:hAnsi="Times New Roman" w:cs="Times New Roman"/>
                <w:lang w:val="en-US" w:eastAsia="zh-CN"/>
              </w:rPr>
              <w:t>.23</w:t>
            </w:r>
            <w:r>
              <w:rPr>
                <w:rFonts w:hint="default" w:ascii="Times New Roman" w:hAnsi="Times New Roman" w:cs="Times New Roman"/>
              </w:rPr>
              <w:t>建设项目环境风险简单分析内容表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978"/>
              <w:gridCol w:w="2267"/>
              <w:gridCol w:w="1118"/>
              <w:gridCol w:w="2128"/>
            </w:tblGrid>
            <w:tr w14:paraId="2C778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33FB35F2">
                  <w:pPr>
                    <w:pStyle w:val="29"/>
                    <w:ind w:firstLine="0" w:firstLineChars="0"/>
                    <w:jc w:val="center"/>
                    <w:rPr>
                      <w:rFonts w:hint="default" w:ascii="Times New Roman" w:hAnsi="Times New Roman" w:cs="Times New Roman"/>
                    </w:rPr>
                  </w:pPr>
                  <w:r>
                    <w:rPr>
                      <w:rFonts w:hint="default" w:ascii="Times New Roman" w:hAnsi="Times New Roman" w:eastAsia="宋体" w:cs="Times New Roman"/>
                      <w:b/>
                      <w:bCs/>
                      <w:color w:val="auto"/>
                      <w:szCs w:val="21"/>
                      <w:highlight w:val="none"/>
                    </w:rPr>
                    <w:t>建设</w:t>
                  </w:r>
                  <w:r>
                    <w:rPr>
                      <w:rFonts w:hint="default" w:ascii="Times New Roman" w:hAnsi="Times New Roman" w:cs="Times New Roman"/>
                    </w:rPr>
                    <w:t>项目名称</w:t>
                  </w:r>
                </w:p>
              </w:tc>
              <w:tc>
                <w:tcPr>
                  <w:tcW w:w="6491" w:type="dxa"/>
                  <w:gridSpan w:val="4"/>
                  <w:noWrap w:val="0"/>
                  <w:vAlign w:val="center"/>
                </w:tcPr>
                <w:p w14:paraId="0FA303DB">
                  <w:pPr>
                    <w:pStyle w:val="26"/>
                    <w:bidi w:val="0"/>
                    <w:rPr>
                      <w:rFonts w:hint="default" w:ascii="Times New Roman" w:hAnsi="Times New Roman" w:cs="Times New Roman"/>
                    </w:rPr>
                  </w:pPr>
                  <w:r>
                    <w:rPr>
                      <w:rFonts w:hint="default" w:ascii="Times New Roman" w:hAnsi="Times New Roman" w:cs="Times New Roman"/>
                    </w:rPr>
                    <w:t>扬州德沪智能装备有限公司</w:t>
                  </w:r>
                </w:p>
                <w:p w14:paraId="058B0331">
                  <w:pPr>
                    <w:pStyle w:val="26"/>
                    <w:bidi w:val="0"/>
                    <w:rPr>
                      <w:rFonts w:hint="default" w:ascii="Times New Roman" w:hAnsi="Times New Roman" w:cs="Times New Roman"/>
                    </w:rPr>
                  </w:pPr>
                  <w:r>
                    <w:rPr>
                      <w:rFonts w:hint="default" w:ascii="Times New Roman" w:hAnsi="Times New Roman" w:cs="Times New Roman"/>
                    </w:rPr>
                    <w:t>年产600台套钙钛矿光伏智能装备研发及制造项目</w:t>
                  </w:r>
                </w:p>
              </w:tc>
            </w:tr>
            <w:tr w14:paraId="55A7F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5ED169F2">
                  <w:pPr>
                    <w:pStyle w:val="26"/>
                    <w:bidi w:val="0"/>
                    <w:rPr>
                      <w:rFonts w:hint="default" w:ascii="Times New Roman" w:hAnsi="Times New Roman" w:cs="Times New Roman"/>
                    </w:rPr>
                  </w:pPr>
                  <w:r>
                    <w:rPr>
                      <w:rFonts w:hint="default" w:ascii="Times New Roman" w:hAnsi="Times New Roman" w:cs="Times New Roman"/>
                    </w:rPr>
                    <w:t>建设地点</w:t>
                  </w:r>
                </w:p>
              </w:tc>
              <w:tc>
                <w:tcPr>
                  <w:tcW w:w="6491" w:type="dxa"/>
                  <w:gridSpan w:val="4"/>
                  <w:noWrap w:val="0"/>
                  <w:vAlign w:val="center"/>
                </w:tcPr>
                <w:p w14:paraId="0CE64783">
                  <w:pPr>
                    <w:pStyle w:val="26"/>
                    <w:bidi w:val="0"/>
                    <w:rPr>
                      <w:rFonts w:hint="default" w:ascii="Times New Roman" w:hAnsi="Times New Roman" w:cs="Times New Roman"/>
                      <w:lang w:val="en-US" w:eastAsia="zh-CN"/>
                    </w:rPr>
                  </w:pPr>
                  <w:r>
                    <w:rPr>
                      <w:rFonts w:hint="default" w:ascii="Times New Roman" w:hAnsi="Times New Roman" w:cs="Times New Roman"/>
                      <w:lang w:val="en-US" w:eastAsia="zh-CN"/>
                    </w:rPr>
                    <w:t>江苏省扬州市扬州经济技术开发区金山路129号</w:t>
                  </w:r>
                </w:p>
              </w:tc>
            </w:tr>
            <w:tr w14:paraId="553E2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67E411E1">
                  <w:pPr>
                    <w:pStyle w:val="26"/>
                    <w:bidi w:val="0"/>
                    <w:rPr>
                      <w:rFonts w:hint="default" w:ascii="Times New Roman" w:hAnsi="Times New Roman" w:cs="Times New Roman"/>
                    </w:rPr>
                  </w:pPr>
                  <w:r>
                    <w:rPr>
                      <w:rFonts w:hint="default" w:ascii="Times New Roman" w:hAnsi="Times New Roman" w:cs="Times New Roman"/>
                    </w:rPr>
                    <w:t>地理坐标</w:t>
                  </w:r>
                </w:p>
              </w:tc>
              <w:tc>
                <w:tcPr>
                  <w:tcW w:w="978" w:type="dxa"/>
                  <w:noWrap w:val="0"/>
                  <w:vAlign w:val="center"/>
                </w:tcPr>
                <w:p w14:paraId="1A491DD7">
                  <w:pPr>
                    <w:pStyle w:val="26"/>
                    <w:bidi w:val="0"/>
                    <w:rPr>
                      <w:rFonts w:hint="default" w:ascii="Times New Roman" w:hAnsi="Times New Roman" w:cs="Times New Roman"/>
                    </w:rPr>
                  </w:pPr>
                  <w:r>
                    <w:rPr>
                      <w:rFonts w:hint="default" w:ascii="Times New Roman" w:hAnsi="Times New Roman" w:cs="Times New Roman"/>
                      <w:lang w:val="zh-CN"/>
                    </w:rPr>
                    <w:t>经度</w:t>
                  </w:r>
                </w:p>
              </w:tc>
              <w:tc>
                <w:tcPr>
                  <w:tcW w:w="2267" w:type="dxa"/>
                  <w:noWrap w:val="0"/>
                  <w:vAlign w:val="center"/>
                </w:tcPr>
                <w:p w14:paraId="3049023D">
                  <w:pPr>
                    <w:pStyle w:val="26"/>
                    <w:bidi w:val="0"/>
                    <w:rPr>
                      <w:rFonts w:hint="default" w:ascii="Times New Roman" w:hAnsi="Times New Roman" w:cs="Times New Roman"/>
                    </w:rPr>
                  </w:pPr>
                  <w:r>
                    <w:rPr>
                      <w:rFonts w:hint="default" w:ascii="Times New Roman" w:hAnsi="Times New Roman" w:cs="Times New Roman"/>
                    </w:rPr>
                    <w:t>东经</w:t>
                  </w:r>
                </w:p>
                <w:p w14:paraId="3B188DEF">
                  <w:pPr>
                    <w:pStyle w:val="26"/>
                    <w:bidi w:val="0"/>
                    <w:rPr>
                      <w:rFonts w:hint="default" w:ascii="Times New Roman" w:hAnsi="Times New Roman" w:cs="Times New Roman"/>
                    </w:rPr>
                  </w:pPr>
                  <w:r>
                    <w:rPr>
                      <w:rFonts w:hint="default" w:ascii="Times New Roman" w:hAnsi="Times New Roman" w:cs="Times New Roman"/>
                    </w:rPr>
                    <w:t>119度25分12.947秒</w:t>
                  </w:r>
                </w:p>
              </w:tc>
              <w:tc>
                <w:tcPr>
                  <w:tcW w:w="1118" w:type="dxa"/>
                  <w:noWrap w:val="0"/>
                  <w:vAlign w:val="center"/>
                </w:tcPr>
                <w:p w14:paraId="13C9659C">
                  <w:pPr>
                    <w:pStyle w:val="26"/>
                    <w:bidi w:val="0"/>
                    <w:rPr>
                      <w:rFonts w:hint="default" w:ascii="Times New Roman" w:hAnsi="Times New Roman" w:cs="Times New Roman"/>
                    </w:rPr>
                  </w:pPr>
                  <w:r>
                    <w:rPr>
                      <w:rFonts w:hint="default" w:ascii="Times New Roman" w:hAnsi="Times New Roman" w:cs="Times New Roman"/>
                      <w:lang w:val="zh-CN"/>
                    </w:rPr>
                    <w:t>纬度</w:t>
                  </w:r>
                </w:p>
              </w:tc>
              <w:tc>
                <w:tcPr>
                  <w:tcW w:w="2128" w:type="dxa"/>
                  <w:noWrap w:val="0"/>
                  <w:vAlign w:val="center"/>
                </w:tcPr>
                <w:p w14:paraId="2AD4E35A">
                  <w:pPr>
                    <w:pStyle w:val="26"/>
                    <w:bidi w:val="0"/>
                    <w:rPr>
                      <w:rFonts w:hint="default" w:ascii="Times New Roman" w:hAnsi="Times New Roman" w:cs="Times New Roman"/>
                    </w:rPr>
                  </w:pPr>
                  <w:r>
                    <w:rPr>
                      <w:rFonts w:hint="default" w:ascii="Times New Roman" w:hAnsi="Times New Roman" w:cs="Times New Roman"/>
                    </w:rPr>
                    <w:t>北纬</w:t>
                  </w:r>
                </w:p>
                <w:p w14:paraId="4558BBC6">
                  <w:pPr>
                    <w:pStyle w:val="26"/>
                    <w:bidi w:val="0"/>
                    <w:rPr>
                      <w:rFonts w:hint="default" w:ascii="Times New Roman" w:hAnsi="Times New Roman" w:cs="Times New Roman"/>
                    </w:rPr>
                  </w:pPr>
                  <w:r>
                    <w:rPr>
                      <w:rFonts w:hint="default" w:ascii="Times New Roman" w:hAnsi="Times New Roman" w:cs="Times New Roman"/>
                    </w:rPr>
                    <w:t>32度17分11.008秒</w:t>
                  </w:r>
                </w:p>
              </w:tc>
            </w:tr>
            <w:tr w14:paraId="0CFCA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751CAF87">
                  <w:pPr>
                    <w:pStyle w:val="26"/>
                    <w:bidi w:val="0"/>
                    <w:rPr>
                      <w:rFonts w:hint="default" w:ascii="Times New Roman" w:hAnsi="Times New Roman" w:cs="Times New Roman"/>
                    </w:rPr>
                  </w:pPr>
                  <w:r>
                    <w:rPr>
                      <w:rFonts w:hint="default" w:ascii="Times New Roman" w:hAnsi="Times New Roman" w:cs="Times New Roman"/>
                    </w:rPr>
                    <w:t>主要危险物质及分布</w:t>
                  </w:r>
                </w:p>
              </w:tc>
              <w:tc>
                <w:tcPr>
                  <w:tcW w:w="6491" w:type="dxa"/>
                  <w:gridSpan w:val="4"/>
                  <w:noWrap w:val="0"/>
                  <w:vAlign w:val="center"/>
                </w:tcPr>
                <w:p w14:paraId="7770DC49">
                  <w:pPr>
                    <w:pStyle w:val="26"/>
                    <w:bidi w:val="0"/>
                    <w:jc w:val="both"/>
                    <w:rPr>
                      <w:rFonts w:hint="eastAsia" w:ascii="Times New Roman" w:hAnsi="Times New Roman" w:cs="Times New Roman"/>
                      <w:lang w:val="en-US" w:eastAsia="zh-CN"/>
                    </w:rPr>
                  </w:pPr>
                  <w:r>
                    <w:rPr>
                      <w:rFonts w:hint="default" w:ascii="Times New Roman" w:hAnsi="Times New Roman" w:cs="Times New Roman"/>
                    </w:rPr>
                    <w:t>主要风险物质为FAI(碘化甲脒)</w:t>
                  </w:r>
                  <w:r>
                    <w:rPr>
                      <w:rFonts w:hint="eastAsia" w:ascii="Times New Roman" w:hAnsi="Times New Roman" w:cs="Times New Roman"/>
                      <w:lang w:eastAsia="zh-CN"/>
                    </w:rPr>
                    <w:t>、</w:t>
                  </w:r>
                  <w:r>
                    <w:rPr>
                      <w:rFonts w:hint="default" w:ascii="Times New Roman" w:hAnsi="Times New Roman" w:cs="Times New Roman"/>
                    </w:rPr>
                    <w:t>MAAC(甲基醋酸铵)</w:t>
                  </w:r>
                  <w:r>
                    <w:rPr>
                      <w:rFonts w:hint="eastAsia" w:ascii="Times New Roman" w:hAnsi="Times New Roman" w:cs="Times New Roman"/>
                      <w:lang w:eastAsia="zh-CN"/>
                    </w:rPr>
                    <w:t>、</w:t>
                  </w:r>
                  <w:r>
                    <w:rPr>
                      <w:rFonts w:hint="default" w:ascii="Times New Roman" w:hAnsi="Times New Roman" w:cs="Times New Roman"/>
                    </w:rPr>
                    <w:t>PbI2(碘化铅)</w:t>
                  </w:r>
                  <w:r>
                    <w:rPr>
                      <w:rFonts w:hint="eastAsia" w:ascii="Times New Roman" w:hAnsi="Times New Roman" w:cs="Times New Roman"/>
                      <w:lang w:eastAsia="zh-CN"/>
                    </w:rPr>
                    <w:t>、</w:t>
                  </w:r>
                  <w:r>
                    <w:rPr>
                      <w:rFonts w:hint="default" w:ascii="Times New Roman" w:hAnsi="Times New Roman" w:cs="Times New Roman"/>
                    </w:rPr>
                    <w:t>CsI(碘化铯)</w:t>
                  </w:r>
                  <w:r>
                    <w:rPr>
                      <w:rFonts w:hint="eastAsia" w:ascii="Times New Roman" w:hAnsi="Times New Roman" w:cs="Times New Roman"/>
                      <w:lang w:eastAsia="zh-CN"/>
                    </w:rPr>
                    <w:t>、</w:t>
                  </w:r>
                  <w:r>
                    <w:rPr>
                      <w:rFonts w:hint="default" w:ascii="Times New Roman" w:hAnsi="Times New Roman" w:cs="Times New Roman"/>
                    </w:rPr>
                    <w:t>PbBr2（溴化铅）</w:t>
                  </w:r>
                  <w:r>
                    <w:rPr>
                      <w:rFonts w:hint="eastAsia" w:ascii="Times New Roman" w:hAnsi="Times New Roman" w:cs="Times New Roman"/>
                      <w:lang w:eastAsia="zh-CN"/>
                    </w:rPr>
                    <w:t>、</w:t>
                  </w:r>
                  <w:r>
                    <w:rPr>
                      <w:rFonts w:hint="default" w:ascii="Times New Roman" w:hAnsi="Times New Roman" w:cs="Times New Roman"/>
                    </w:rPr>
                    <w:t>MACl(甲基氯化铵）</w:t>
                  </w:r>
                  <w:r>
                    <w:rPr>
                      <w:rFonts w:hint="eastAsia" w:ascii="Times New Roman" w:hAnsi="Times New Roman" w:cs="Times New Roman"/>
                      <w:lang w:eastAsia="zh-CN"/>
                    </w:rPr>
                    <w:t>、</w:t>
                  </w:r>
                  <w:r>
                    <w:rPr>
                      <w:rFonts w:hint="default" w:ascii="Times New Roman" w:hAnsi="Times New Roman" w:cs="Times New Roman"/>
                    </w:rPr>
                    <w:t>PbCl2(氯化铅)</w:t>
                  </w:r>
                  <w:r>
                    <w:rPr>
                      <w:rFonts w:hint="eastAsia" w:ascii="Times New Roman" w:hAnsi="Times New Roman" w:cs="Times New Roman"/>
                      <w:lang w:eastAsia="zh-CN"/>
                    </w:rPr>
                    <w:t>、</w:t>
                  </w:r>
                  <w:r>
                    <w:rPr>
                      <w:rFonts w:hint="default" w:ascii="Times New Roman" w:hAnsi="Times New Roman" w:cs="Times New Roman"/>
                    </w:rPr>
                    <w:t>DMF (N,N-二甲基甲酰胺)</w:t>
                  </w:r>
                  <w:r>
                    <w:rPr>
                      <w:rFonts w:hint="eastAsia" w:ascii="Times New Roman" w:hAnsi="Times New Roman" w:cs="Times New Roman"/>
                      <w:lang w:eastAsia="zh-CN"/>
                    </w:rPr>
                    <w:t>、</w:t>
                  </w:r>
                  <w:r>
                    <w:rPr>
                      <w:rFonts w:hint="default" w:ascii="Times New Roman" w:hAnsi="Times New Roman" w:cs="Times New Roman"/>
                    </w:rPr>
                    <w:t>NMP（N-甲基吡咯烷酮）</w:t>
                  </w:r>
                  <w:r>
                    <w:rPr>
                      <w:rFonts w:hint="eastAsia" w:ascii="Times New Roman" w:hAnsi="Times New Roman" w:cs="Times New Roman"/>
                      <w:lang w:eastAsia="zh-CN"/>
                    </w:rPr>
                    <w:t>、</w:t>
                  </w:r>
                  <w:r>
                    <w:rPr>
                      <w:rFonts w:hint="default" w:ascii="Times New Roman" w:hAnsi="Times New Roman" w:cs="Times New Roman"/>
                    </w:rPr>
                    <w:t>乙醇及危险废物：</w:t>
                  </w:r>
                  <w:r>
                    <w:rPr>
                      <w:rFonts w:hint="default" w:ascii="Times New Roman" w:hAnsi="Times New Roman" w:cs="Times New Roman"/>
                      <w:lang w:val="en-US" w:eastAsia="zh-CN"/>
                    </w:rPr>
                    <w:t>废气处理设施</w:t>
                  </w:r>
                  <w:r>
                    <w:rPr>
                      <w:rFonts w:hint="default" w:ascii="Times New Roman" w:hAnsi="Times New Roman" w:cs="Times New Roman"/>
                    </w:rPr>
                    <w:t>废活性炭、清洗废液、</w:t>
                  </w:r>
                  <w:r>
                    <w:rPr>
                      <w:rFonts w:hint="eastAsia" w:cs="Times New Roman"/>
                      <w:lang w:eastAsia="zh-CN"/>
                    </w:rPr>
                    <w:t>废擦拭乙醇</w:t>
                  </w:r>
                  <w:r>
                    <w:rPr>
                      <w:rFonts w:hint="default" w:ascii="Times New Roman" w:hAnsi="Times New Roman" w:cs="Times New Roman"/>
                    </w:rPr>
                    <w:t>、实验配液间废一次性器具及防护用品、</w:t>
                  </w:r>
                  <w:r>
                    <w:rPr>
                      <w:rFonts w:hint="eastAsia" w:ascii="Times New Roman" w:hAnsi="Times New Roman" w:cs="Times New Roman"/>
                      <w:lang w:val="en-US" w:eastAsia="zh-CN"/>
                    </w:rPr>
                    <w:t>废涂布溶液</w:t>
                  </w:r>
                  <w:r>
                    <w:rPr>
                      <w:rFonts w:hint="default" w:ascii="Times New Roman" w:hAnsi="Times New Roman" w:cs="Times New Roman"/>
                    </w:rPr>
                    <w:t>，</w:t>
                  </w:r>
                  <w:r>
                    <w:rPr>
                      <w:rFonts w:hint="eastAsia" w:ascii="Times New Roman" w:hAnsi="Times New Roman" w:cs="Times New Roman"/>
                      <w:lang w:val="en-US" w:eastAsia="zh-CN"/>
                    </w:rPr>
                    <w:t>激光划线粉尘</w:t>
                  </w:r>
                  <w:r>
                    <w:rPr>
                      <w:rFonts w:hint="default" w:ascii="Times New Roman" w:hAnsi="Times New Roman" w:cs="Times New Roman"/>
                    </w:rPr>
                    <w:t>，</w:t>
                  </w:r>
                  <w:r>
                    <w:rPr>
                      <w:rFonts w:hint="default" w:ascii="Times New Roman" w:hAnsi="Times New Roman" w:cs="Times New Roman"/>
                      <w:lang w:val="en-US" w:eastAsia="zh-CN"/>
                    </w:rPr>
                    <w:t>化学品</w:t>
                  </w:r>
                  <w:r>
                    <w:rPr>
                      <w:rFonts w:hint="default" w:ascii="Times New Roman" w:hAnsi="Times New Roman" w:cs="Times New Roman"/>
                    </w:rPr>
                    <w:t>废包装材料、</w:t>
                  </w:r>
                  <w:r>
                    <w:rPr>
                      <w:rFonts w:hint="eastAsia" w:ascii="Times New Roman" w:hAnsi="Times New Roman" w:cs="Times New Roman"/>
                      <w:lang w:val="en-US" w:eastAsia="zh-CN"/>
                    </w:rPr>
                    <w:t>报废品和废润滑油</w:t>
                  </w:r>
                </w:p>
                <w:p w14:paraId="42DB31DF">
                  <w:pPr>
                    <w:pStyle w:val="26"/>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主要分布：原辅料仓库、危废暂存库、生产厂房</w:t>
                  </w:r>
                </w:p>
              </w:tc>
            </w:tr>
            <w:tr w14:paraId="54260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035408DB">
                  <w:pPr>
                    <w:pStyle w:val="26"/>
                    <w:bidi w:val="0"/>
                    <w:rPr>
                      <w:rFonts w:hint="default" w:ascii="Times New Roman" w:hAnsi="Times New Roman" w:cs="Times New Roman"/>
                    </w:rPr>
                  </w:pPr>
                  <w:r>
                    <w:rPr>
                      <w:rFonts w:hint="default" w:ascii="Times New Roman" w:hAnsi="Times New Roman" w:cs="Times New Roman"/>
                    </w:rPr>
                    <w:t>环境影响途径及危害后果</w:t>
                  </w:r>
                </w:p>
              </w:tc>
              <w:tc>
                <w:tcPr>
                  <w:tcW w:w="6491" w:type="dxa"/>
                  <w:gridSpan w:val="4"/>
                  <w:noWrap w:val="0"/>
                  <w:vAlign w:val="center"/>
                </w:tcPr>
                <w:p w14:paraId="0EFFF7F1">
                  <w:pPr>
                    <w:pStyle w:val="26"/>
                    <w:bidi w:val="0"/>
                    <w:rPr>
                      <w:rFonts w:hint="default" w:ascii="Times New Roman" w:hAnsi="Times New Roman" w:cs="Times New Roman"/>
                    </w:rPr>
                  </w:pPr>
                  <w:r>
                    <w:rPr>
                      <w:rFonts w:hint="default" w:ascii="Times New Roman" w:hAnsi="Times New Roman" w:cs="Times New Roman"/>
                    </w:rPr>
                    <w:t>环境影响途径及危害后果</w:t>
                  </w:r>
                  <w:r>
                    <w:rPr>
                      <w:rFonts w:hint="default" w:ascii="Times New Roman" w:hAnsi="Times New Roman" w:cs="Times New Roman"/>
                    </w:rPr>
                    <w:tab/>
                  </w:r>
                  <w:r>
                    <w:rPr>
                      <w:rFonts w:hint="default" w:ascii="Times New Roman" w:hAnsi="Times New Roman" w:cs="Times New Roman"/>
                    </w:rPr>
                    <w:t>存放过程的遗失及转移过程的泄露，可能直接影响到周围的大气环境，间接影响到环境土壤及地下水环境。</w:t>
                  </w:r>
                </w:p>
              </w:tc>
            </w:tr>
            <w:tr w14:paraId="05922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1156D783">
                  <w:pPr>
                    <w:pStyle w:val="26"/>
                    <w:bidi w:val="0"/>
                    <w:rPr>
                      <w:rFonts w:hint="default" w:ascii="Times New Roman" w:hAnsi="Times New Roman" w:cs="Times New Roman"/>
                    </w:rPr>
                  </w:pPr>
                  <w:r>
                    <w:rPr>
                      <w:rFonts w:hint="default" w:ascii="Times New Roman" w:hAnsi="Times New Roman" w:cs="Times New Roman"/>
                    </w:rPr>
                    <w:t>风险防范措施</w:t>
                  </w:r>
                </w:p>
              </w:tc>
              <w:tc>
                <w:tcPr>
                  <w:tcW w:w="6491" w:type="dxa"/>
                  <w:gridSpan w:val="4"/>
                  <w:noWrap w:val="0"/>
                  <w:vAlign w:val="center"/>
                </w:tcPr>
                <w:p w14:paraId="1373A608">
                  <w:pPr>
                    <w:pStyle w:val="26"/>
                    <w:bidi w:val="0"/>
                    <w:jc w:val="both"/>
                    <w:rPr>
                      <w:rFonts w:hint="default" w:ascii="Times New Roman" w:hAnsi="Times New Roman" w:cs="Times New Roman"/>
                    </w:rPr>
                  </w:pPr>
                  <w:r>
                    <w:rPr>
                      <w:rFonts w:hint="default" w:ascii="Times New Roman" w:hAnsi="Times New Roman" w:cs="Times New Roman"/>
                    </w:rPr>
                    <w:t>1）项目各设备间预留足够的安全防护距离，保证道路畅通，以利于消防和安全疏散；</w:t>
                  </w:r>
                </w:p>
                <w:p w14:paraId="68E451B9">
                  <w:pPr>
                    <w:pStyle w:val="26"/>
                    <w:bidi w:val="0"/>
                    <w:jc w:val="both"/>
                    <w:rPr>
                      <w:rFonts w:hint="default" w:ascii="Times New Roman" w:hAnsi="Times New Roman" w:cs="Times New Roman"/>
                    </w:rPr>
                  </w:pPr>
                  <w:r>
                    <w:rPr>
                      <w:rFonts w:hint="default" w:ascii="Times New Roman" w:hAnsi="Times New Roman" w:cs="Times New Roman"/>
                    </w:rPr>
                    <w:t>（2）加快处置频率，减少厂区的固定存放数量；</w:t>
                  </w:r>
                </w:p>
                <w:p w14:paraId="542229E9">
                  <w:pPr>
                    <w:pStyle w:val="26"/>
                    <w:bidi w:val="0"/>
                    <w:jc w:val="both"/>
                    <w:rPr>
                      <w:rFonts w:hint="default" w:ascii="Times New Roman" w:hAnsi="Times New Roman" w:cs="Times New Roman"/>
                    </w:rPr>
                  </w:pPr>
                  <w:r>
                    <w:rPr>
                      <w:rFonts w:hint="default" w:ascii="Times New Roman" w:hAnsi="Times New Roman" w:cs="Times New Roman"/>
                    </w:rPr>
                    <w:t>（3）危险废物暂存间应严格按照《危险废物贮存污染控制标准》（GB18597-2023）进行设置；禁止将危险废物与一般固体废物、生活垃圾及其它废物混合堆放，按处置去向分别存放；危废贮存区域设置明显的警示标识。并设有台账。项目产生的废催化剂及时转运，并严格执行危险废物转运联单制度；</w:t>
                  </w:r>
                </w:p>
                <w:p w14:paraId="52EEE634">
                  <w:pPr>
                    <w:pStyle w:val="26"/>
                    <w:bidi w:val="0"/>
                    <w:jc w:val="both"/>
                    <w:rPr>
                      <w:rFonts w:hint="default" w:ascii="Times New Roman" w:hAnsi="Times New Roman" w:cs="Times New Roman"/>
                    </w:rPr>
                  </w:pPr>
                  <w:r>
                    <w:rPr>
                      <w:rFonts w:hint="default" w:ascii="Times New Roman" w:hAnsi="Times New Roman" w:cs="Times New Roman"/>
                    </w:rPr>
                    <w:t>（4）厂区车间、危险废物库配备足够的灭火器、干砂及石棉板等；管理人员掌握防火常识、灭火常识，并能熟练操作灭火器；灭火器经常检查、定期更换；</w:t>
                  </w:r>
                </w:p>
                <w:p w14:paraId="1FC4B2D0">
                  <w:pPr>
                    <w:pStyle w:val="26"/>
                    <w:bidi w:val="0"/>
                    <w:jc w:val="both"/>
                    <w:rPr>
                      <w:rFonts w:hint="default" w:ascii="Times New Roman" w:hAnsi="Times New Roman" w:cs="Times New Roman"/>
                    </w:rPr>
                  </w:pPr>
                  <w:r>
                    <w:rPr>
                      <w:rFonts w:hint="default" w:ascii="Times New Roman" w:hAnsi="Times New Roman" w:cs="Times New Roman"/>
                    </w:rPr>
                    <w:t>（5）制定安全事故应急计划，做到安全生产；</w:t>
                  </w:r>
                </w:p>
                <w:p w14:paraId="452D986A">
                  <w:pPr>
                    <w:pStyle w:val="26"/>
                    <w:bidi w:val="0"/>
                    <w:jc w:val="both"/>
                    <w:rPr>
                      <w:rFonts w:hint="default" w:ascii="Times New Roman" w:hAnsi="Times New Roman" w:cs="Times New Roman"/>
                    </w:rPr>
                  </w:pPr>
                  <w:r>
                    <w:rPr>
                      <w:rFonts w:hint="default" w:ascii="Times New Roman" w:hAnsi="Times New Roman" w:cs="Times New Roman"/>
                    </w:rPr>
                    <w:t>（6）仓库内禁止明火禁止吸烟，并设置告示牌，防止火灾及爆炸事故的发生</w:t>
                  </w:r>
                </w:p>
                <w:p w14:paraId="1AB7F48A">
                  <w:pPr>
                    <w:pStyle w:val="26"/>
                    <w:bidi w:val="0"/>
                    <w:jc w:val="both"/>
                    <w:rPr>
                      <w:rFonts w:hint="default" w:ascii="Times New Roman" w:hAnsi="Times New Roman" w:cs="Times New Roman"/>
                    </w:rPr>
                  </w:pPr>
                  <w:r>
                    <w:rPr>
                      <w:rFonts w:hint="default" w:ascii="Times New Roman" w:hAnsi="Times New Roman" w:cs="Times New Roman"/>
                    </w:rPr>
                    <w:t>（7）严格遵守“三同时”制度，加强日常巡检，定期对废气处理设施进行检查，加强日常巡检，当在日常生产中发现废气处理设备出现异常时，应暂停生产，及时检修。</w:t>
                  </w:r>
                </w:p>
              </w:tc>
            </w:tr>
            <w:tr w14:paraId="3B1A7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4DA820E4">
                  <w:pPr>
                    <w:pStyle w:val="26"/>
                    <w:bidi w:val="0"/>
                    <w:rPr>
                      <w:rFonts w:hint="default" w:ascii="Times New Roman" w:hAnsi="Times New Roman" w:cs="Times New Roman"/>
                    </w:rPr>
                  </w:pPr>
                  <w:r>
                    <w:rPr>
                      <w:rFonts w:hint="default" w:ascii="Times New Roman" w:hAnsi="Times New Roman" w:cs="Times New Roman"/>
                    </w:rPr>
                    <w:t>填表说明</w:t>
                  </w:r>
                </w:p>
              </w:tc>
              <w:tc>
                <w:tcPr>
                  <w:tcW w:w="6491" w:type="dxa"/>
                  <w:gridSpan w:val="4"/>
                  <w:noWrap w:val="0"/>
                  <w:vAlign w:val="center"/>
                </w:tcPr>
                <w:p w14:paraId="5DC749F2">
                  <w:pPr>
                    <w:pStyle w:val="26"/>
                    <w:bidi w:val="0"/>
                    <w:jc w:val="both"/>
                    <w:rPr>
                      <w:rFonts w:hint="default" w:ascii="Times New Roman" w:hAnsi="Times New Roman" w:cs="Times New Roman"/>
                    </w:rPr>
                  </w:pPr>
                  <w:r>
                    <w:rPr>
                      <w:rFonts w:hint="default" w:ascii="Times New Roman" w:hAnsi="Times New Roman" w:cs="Times New Roman"/>
                    </w:rPr>
                    <w:t>根据《建设项目环境风险评价技术导则》(HJ169-2018)，项目风险评价等级按照简单分析进行评价项目主要风险物质为FAI(碘化甲脒)</w:t>
                  </w:r>
                  <w:r>
                    <w:rPr>
                      <w:rFonts w:hint="eastAsia" w:ascii="Times New Roman" w:hAnsi="Times New Roman" w:cs="Times New Roman"/>
                      <w:lang w:eastAsia="zh-CN"/>
                    </w:rPr>
                    <w:t>、</w:t>
                  </w:r>
                  <w:r>
                    <w:rPr>
                      <w:rFonts w:hint="default" w:ascii="Times New Roman" w:hAnsi="Times New Roman" w:cs="Times New Roman"/>
                    </w:rPr>
                    <w:t>MAAC(甲基醋酸铵)</w:t>
                  </w:r>
                  <w:r>
                    <w:rPr>
                      <w:rFonts w:hint="eastAsia" w:ascii="Times New Roman" w:hAnsi="Times New Roman" w:cs="Times New Roman"/>
                      <w:lang w:eastAsia="zh-CN"/>
                    </w:rPr>
                    <w:t>、</w:t>
                  </w:r>
                  <w:r>
                    <w:rPr>
                      <w:rFonts w:hint="default" w:ascii="Times New Roman" w:hAnsi="Times New Roman" w:cs="Times New Roman"/>
                    </w:rPr>
                    <w:t>PbI2(碘化铅)</w:t>
                  </w:r>
                  <w:r>
                    <w:rPr>
                      <w:rFonts w:hint="eastAsia" w:ascii="Times New Roman" w:hAnsi="Times New Roman" w:cs="Times New Roman"/>
                      <w:lang w:eastAsia="zh-CN"/>
                    </w:rPr>
                    <w:t>、</w:t>
                  </w:r>
                  <w:r>
                    <w:rPr>
                      <w:rFonts w:hint="default" w:ascii="Times New Roman" w:hAnsi="Times New Roman" w:cs="Times New Roman"/>
                    </w:rPr>
                    <w:t>CsI(碘化铯)</w:t>
                  </w:r>
                  <w:r>
                    <w:rPr>
                      <w:rFonts w:hint="eastAsia" w:ascii="Times New Roman" w:hAnsi="Times New Roman" w:cs="Times New Roman"/>
                      <w:lang w:eastAsia="zh-CN"/>
                    </w:rPr>
                    <w:t>、</w:t>
                  </w:r>
                  <w:r>
                    <w:rPr>
                      <w:rFonts w:hint="default" w:ascii="Times New Roman" w:hAnsi="Times New Roman" w:cs="Times New Roman"/>
                    </w:rPr>
                    <w:t>PbBr2（溴化铅）</w:t>
                  </w:r>
                  <w:r>
                    <w:rPr>
                      <w:rFonts w:hint="eastAsia" w:ascii="Times New Roman" w:hAnsi="Times New Roman" w:cs="Times New Roman"/>
                      <w:lang w:eastAsia="zh-CN"/>
                    </w:rPr>
                    <w:t>、</w:t>
                  </w:r>
                  <w:r>
                    <w:rPr>
                      <w:rFonts w:hint="default" w:ascii="Times New Roman" w:hAnsi="Times New Roman" w:cs="Times New Roman"/>
                    </w:rPr>
                    <w:t>MACl(甲基氯化铵）</w:t>
                  </w:r>
                  <w:r>
                    <w:rPr>
                      <w:rFonts w:hint="eastAsia" w:ascii="Times New Roman" w:hAnsi="Times New Roman" w:cs="Times New Roman"/>
                      <w:lang w:eastAsia="zh-CN"/>
                    </w:rPr>
                    <w:t>、</w:t>
                  </w:r>
                  <w:r>
                    <w:rPr>
                      <w:rFonts w:hint="default" w:ascii="Times New Roman" w:hAnsi="Times New Roman" w:cs="Times New Roman"/>
                    </w:rPr>
                    <w:t>PbCl2(氯化铅)</w:t>
                  </w:r>
                  <w:r>
                    <w:rPr>
                      <w:rFonts w:hint="eastAsia" w:ascii="Times New Roman" w:hAnsi="Times New Roman" w:cs="Times New Roman"/>
                      <w:lang w:eastAsia="zh-CN"/>
                    </w:rPr>
                    <w:t>、</w:t>
                  </w:r>
                  <w:r>
                    <w:rPr>
                      <w:rFonts w:hint="default" w:ascii="Times New Roman" w:hAnsi="Times New Roman" w:cs="Times New Roman"/>
                    </w:rPr>
                    <w:t>DMF (N,N-二甲基甲酰胺)</w:t>
                  </w:r>
                  <w:r>
                    <w:rPr>
                      <w:rFonts w:hint="eastAsia" w:ascii="Times New Roman" w:hAnsi="Times New Roman" w:cs="Times New Roman"/>
                      <w:lang w:eastAsia="zh-CN"/>
                    </w:rPr>
                    <w:t>、</w:t>
                  </w:r>
                  <w:r>
                    <w:rPr>
                      <w:rFonts w:hint="default" w:ascii="Times New Roman" w:hAnsi="Times New Roman" w:cs="Times New Roman"/>
                    </w:rPr>
                    <w:t>NMP（N-甲基吡咯烷酮）</w:t>
                  </w:r>
                  <w:r>
                    <w:rPr>
                      <w:rFonts w:hint="eastAsia" w:ascii="Times New Roman" w:hAnsi="Times New Roman" w:cs="Times New Roman"/>
                      <w:lang w:eastAsia="zh-CN"/>
                    </w:rPr>
                    <w:t>、</w:t>
                  </w:r>
                  <w:r>
                    <w:rPr>
                      <w:rFonts w:hint="default" w:ascii="Times New Roman" w:hAnsi="Times New Roman" w:cs="Times New Roman"/>
                    </w:rPr>
                    <w:t>乙醇及危险废物。风险潜势为I，仅做简单分析。在落实报告中提出的建立原料使用和储存防范制度，设备工艺等严格按安全规定要求进行，安装火灾报警及消防联动系统，健全安全生产责任制，能降低事故发生概率和控制影响程度，项目风险水平可以接受。</w:t>
                  </w:r>
                </w:p>
              </w:tc>
            </w:tr>
          </w:tbl>
          <w:p w14:paraId="15BF1945">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8、电磁辐射</w:t>
            </w:r>
          </w:p>
          <w:p w14:paraId="09707EFC">
            <w:pPr>
              <w:autoSpaceDE w:val="0"/>
              <w:autoSpaceDN w:val="0"/>
              <w:adjustRightInd w:val="0"/>
              <w:snapToGrid w:val="0"/>
              <w:spacing w:line="360" w:lineRule="auto"/>
              <w:ind w:firstLine="480" w:firstLineChars="200"/>
              <w:textAlignment w:val="baseline"/>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本项目不涉及电磁辐射。</w:t>
            </w:r>
          </w:p>
          <w:p w14:paraId="06262EBF">
            <w:pPr>
              <w:widowControl/>
              <w:snapToGrid w:val="0"/>
              <w:spacing w:line="360" w:lineRule="auto"/>
              <w:ind w:firstLine="480" w:firstLineChars="200"/>
              <w:rPr>
                <w:rFonts w:hint="default" w:ascii="Times New Roman" w:hAnsi="Times New Roman" w:cs="Times New Roman"/>
                <w:color w:val="auto"/>
                <w:sz w:val="24"/>
                <w:highlight w:val="none"/>
              </w:rPr>
            </w:pPr>
          </w:p>
          <w:p w14:paraId="79EA903D">
            <w:pPr>
              <w:widowControl/>
              <w:snapToGrid w:val="0"/>
              <w:spacing w:line="360" w:lineRule="auto"/>
              <w:ind w:firstLine="480" w:firstLineChars="200"/>
              <w:rPr>
                <w:rFonts w:hint="default" w:ascii="Times New Roman" w:hAnsi="Times New Roman" w:cs="Times New Roman"/>
                <w:color w:val="auto"/>
                <w:sz w:val="24"/>
                <w:highlight w:val="none"/>
              </w:rPr>
            </w:pPr>
          </w:p>
        </w:tc>
      </w:tr>
    </w:tbl>
    <w:p w14:paraId="65C3A28C">
      <w:pPr>
        <w:adjustRightInd w:val="0"/>
        <w:snapToGrid w:val="0"/>
        <w:spacing w:line="360" w:lineRule="auto"/>
        <w:rPr>
          <w:rFonts w:ascii="宋体" w:cs="宋体"/>
          <w:b/>
          <w:kern w:val="0"/>
          <w:sz w:val="28"/>
          <w:szCs w:val="28"/>
        </w:rPr>
        <w:sectPr>
          <w:pgSz w:w="11907" w:h="16840"/>
          <w:pgMar w:top="1417" w:right="1531" w:bottom="1446" w:left="1531" w:header="1191" w:footer="1134" w:gutter="0"/>
          <w:cols w:space="720" w:num="1"/>
          <w:docGrid w:linePitch="312" w:charSpace="0"/>
        </w:sectPr>
      </w:pPr>
    </w:p>
    <w:p w14:paraId="6D85DCDB">
      <w:pPr>
        <w:widowControl/>
        <w:jc w:val="center"/>
        <w:outlineLvl w:val="0"/>
        <w:rPr>
          <w:rFonts w:hint="eastAsia" w:ascii="黑体" w:hAnsi="黑体" w:eastAsia="黑体"/>
          <w:snapToGrid w:val="0"/>
          <w:sz w:val="30"/>
          <w:szCs w:val="30"/>
        </w:rPr>
      </w:pPr>
      <w:bookmarkStart w:id="33" w:name="_Toc12620"/>
      <w:bookmarkStart w:id="34" w:name="_Toc7541"/>
      <w:r>
        <w:rPr>
          <w:rFonts w:hint="eastAsia" w:ascii="黑体" w:hAnsi="黑体" w:eastAsia="黑体"/>
          <w:snapToGrid w:val="0"/>
          <w:sz w:val="30"/>
          <w:szCs w:val="30"/>
        </w:rPr>
        <w:t>五、</w:t>
      </w:r>
      <w:bookmarkStart w:id="35" w:name="_Hlk54167917"/>
      <w:r>
        <w:rPr>
          <w:rFonts w:hint="eastAsia" w:ascii="黑体" w:hAnsi="黑体" w:eastAsia="黑体"/>
          <w:snapToGrid w:val="0"/>
          <w:sz w:val="30"/>
          <w:szCs w:val="30"/>
        </w:rPr>
        <w:t>环境保护措施监督检查清单</w:t>
      </w:r>
      <w:bookmarkEnd w:id="33"/>
      <w:bookmarkEnd w:id="34"/>
      <w:bookmarkEnd w:id="35"/>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14:paraId="15734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vAlign w:val="center"/>
          </w:tcPr>
          <w:p w14:paraId="63519EE8">
            <w:pPr>
              <w:pStyle w:val="30"/>
              <w:spacing w:line="243" w:lineRule="exact"/>
              <w:ind w:right="78" w:firstLine="843" w:firstLineChars="400"/>
              <w:jc w:val="center"/>
              <w:rPr>
                <w:rFonts w:hint="default" w:ascii="Times New Roman" w:hAnsi="Times New Roman" w:cs="Times New Roman"/>
                <w:b/>
                <w:bCs/>
                <w:szCs w:val="21"/>
              </w:rPr>
            </w:pPr>
            <w:r>
              <w:rPr>
                <w:rFonts w:hint="default" w:ascii="Times New Roman" w:hAnsi="Times New Roman" w:cs="Times New Roman"/>
                <w:b/>
                <w:bCs/>
                <w:szCs w:val="21"/>
              </w:rPr>
              <w:t>内容</w:t>
            </w:r>
          </w:p>
          <w:p w14:paraId="7600BC14">
            <w:pPr>
              <w:pStyle w:val="30"/>
              <w:spacing w:line="243" w:lineRule="exact"/>
              <w:ind w:right="78"/>
              <w:jc w:val="center"/>
              <w:rPr>
                <w:rFonts w:hint="default" w:ascii="Times New Roman" w:hAnsi="Times New Roman" w:cs="Times New Roman"/>
                <w:b/>
                <w:bCs/>
                <w:szCs w:val="21"/>
              </w:rPr>
            </w:pPr>
            <w:r>
              <w:rPr>
                <w:rFonts w:hint="default" w:ascii="Times New Roman" w:hAnsi="Times New Roman" w:cs="Times New Roman"/>
                <w:b/>
                <w:bCs/>
                <w:szCs w:val="21"/>
              </w:rPr>
              <w:t>要素</w:t>
            </w:r>
          </w:p>
        </w:tc>
        <w:tc>
          <w:tcPr>
            <w:tcW w:w="1755" w:type="dxa"/>
            <w:vAlign w:val="center"/>
          </w:tcPr>
          <w:p w14:paraId="03AF33E5">
            <w:pPr>
              <w:pStyle w:val="30"/>
              <w:spacing w:line="243" w:lineRule="exact"/>
              <w:ind w:right="78"/>
              <w:jc w:val="center"/>
              <w:rPr>
                <w:rFonts w:hint="default" w:ascii="Times New Roman" w:hAnsi="Times New Roman" w:cs="Times New Roman"/>
                <w:b/>
                <w:bCs/>
                <w:szCs w:val="21"/>
              </w:rPr>
            </w:pPr>
            <w:r>
              <w:rPr>
                <w:rFonts w:hint="default" w:ascii="Times New Roman" w:hAnsi="Times New Roman" w:cs="Times New Roman"/>
                <w:b/>
                <w:bCs/>
                <w:szCs w:val="21"/>
              </w:rPr>
              <w:t>排放口(编号、名称)/污染源</w:t>
            </w:r>
          </w:p>
        </w:tc>
        <w:tc>
          <w:tcPr>
            <w:tcW w:w="1755" w:type="dxa"/>
            <w:vAlign w:val="center"/>
          </w:tcPr>
          <w:p w14:paraId="604B1FF7">
            <w:pPr>
              <w:pStyle w:val="30"/>
              <w:spacing w:line="243" w:lineRule="exact"/>
              <w:ind w:right="78"/>
              <w:jc w:val="center"/>
              <w:rPr>
                <w:rFonts w:hint="default" w:ascii="Times New Roman" w:hAnsi="Times New Roman" w:cs="Times New Roman"/>
                <w:b/>
                <w:bCs/>
                <w:szCs w:val="21"/>
              </w:rPr>
            </w:pPr>
            <w:r>
              <w:rPr>
                <w:rFonts w:hint="default" w:ascii="Times New Roman" w:hAnsi="Times New Roman" w:cs="Times New Roman"/>
                <w:b/>
                <w:bCs/>
                <w:szCs w:val="21"/>
              </w:rPr>
              <w:t>污染物项目</w:t>
            </w:r>
          </w:p>
        </w:tc>
        <w:tc>
          <w:tcPr>
            <w:tcW w:w="1755" w:type="dxa"/>
            <w:vAlign w:val="center"/>
          </w:tcPr>
          <w:p w14:paraId="58FFC62A">
            <w:pPr>
              <w:pStyle w:val="30"/>
              <w:spacing w:line="243" w:lineRule="exact"/>
              <w:ind w:right="78"/>
              <w:jc w:val="center"/>
              <w:rPr>
                <w:rFonts w:hint="default" w:ascii="Times New Roman" w:hAnsi="Times New Roman" w:cs="Times New Roman"/>
                <w:b/>
                <w:bCs/>
                <w:szCs w:val="21"/>
              </w:rPr>
            </w:pPr>
            <w:r>
              <w:rPr>
                <w:rFonts w:hint="default" w:ascii="Times New Roman" w:hAnsi="Times New Roman" w:cs="Times New Roman"/>
                <w:b/>
                <w:bCs/>
                <w:szCs w:val="21"/>
              </w:rPr>
              <w:t>环境保护措施</w:t>
            </w:r>
          </w:p>
        </w:tc>
        <w:tc>
          <w:tcPr>
            <w:tcW w:w="1757" w:type="dxa"/>
            <w:vAlign w:val="center"/>
          </w:tcPr>
          <w:p w14:paraId="2491A37C">
            <w:pPr>
              <w:pStyle w:val="30"/>
              <w:spacing w:line="243" w:lineRule="exact"/>
              <w:ind w:right="78"/>
              <w:jc w:val="center"/>
              <w:rPr>
                <w:rFonts w:hint="default" w:ascii="Times New Roman" w:hAnsi="Times New Roman" w:cs="Times New Roman"/>
                <w:b/>
                <w:bCs/>
                <w:szCs w:val="21"/>
              </w:rPr>
            </w:pPr>
            <w:r>
              <w:rPr>
                <w:rFonts w:hint="default" w:ascii="Times New Roman" w:hAnsi="Times New Roman" w:cs="Times New Roman"/>
                <w:b/>
                <w:bCs/>
                <w:szCs w:val="21"/>
              </w:rPr>
              <w:t>预期治理</w:t>
            </w:r>
          </w:p>
          <w:p w14:paraId="4083F64E">
            <w:pPr>
              <w:pStyle w:val="30"/>
              <w:spacing w:line="243" w:lineRule="exact"/>
              <w:ind w:right="78"/>
              <w:jc w:val="center"/>
              <w:rPr>
                <w:rFonts w:hint="default" w:ascii="Times New Roman" w:hAnsi="Times New Roman" w:cs="Times New Roman"/>
                <w:b/>
                <w:bCs/>
                <w:szCs w:val="21"/>
              </w:rPr>
            </w:pPr>
            <w:r>
              <w:rPr>
                <w:rFonts w:hint="default" w:ascii="Times New Roman" w:hAnsi="Times New Roman" w:cs="Times New Roman"/>
                <w:b/>
                <w:bCs/>
                <w:szCs w:val="21"/>
              </w:rPr>
              <w:t>效果</w:t>
            </w:r>
          </w:p>
        </w:tc>
      </w:tr>
      <w:tr w14:paraId="64E2B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14:paraId="5ECB163A">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大气环境</w:t>
            </w:r>
          </w:p>
        </w:tc>
        <w:tc>
          <w:tcPr>
            <w:tcW w:w="1755" w:type="dxa"/>
            <w:vAlign w:val="center"/>
          </w:tcPr>
          <w:p w14:paraId="3697371E">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有组织（排气筒</w:t>
            </w:r>
            <w:r>
              <w:rPr>
                <w:rFonts w:hint="eastAsia" w:ascii="Times New Roman" w:hAnsi="Times New Roman" w:cs="Times New Roman"/>
                <w:szCs w:val="21"/>
                <w:lang w:val="en-US" w:eastAsia="zh-CN"/>
              </w:rPr>
              <w:t>DA001、DA002、DA003</w:t>
            </w:r>
            <w:r>
              <w:rPr>
                <w:rFonts w:hint="default" w:ascii="Times New Roman" w:hAnsi="Times New Roman" w:cs="Times New Roman"/>
                <w:szCs w:val="21"/>
                <w:lang w:val="en-US"/>
              </w:rPr>
              <w:t>）</w:t>
            </w:r>
          </w:p>
        </w:tc>
        <w:tc>
          <w:tcPr>
            <w:tcW w:w="1755" w:type="dxa"/>
            <w:vAlign w:val="center"/>
          </w:tcPr>
          <w:p w14:paraId="67496EAE">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非甲烷总烃</w:t>
            </w:r>
          </w:p>
        </w:tc>
        <w:tc>
          <w:tcPr>
            <w:tcW w:w="1755" w:type="dxa"/>
            <w:vAlign w:val="center"/>
          </w:tcPr>
          <w:p w14:paraId="4AC99B68">
            <w:pPr>
              <w:pStyle w:val="30"/>
              <w:spacing w:line="243" w:lineRule="exact"/>
              <w:ind w:right="78"/>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各实验区</w:t>
            </w:r>
            <w:r>
              <w:rPr>
                <w:rFonts w:hint="default" w:ascii="Times New Roman" w:hAnsi="Times New Roman" w:cs="Times New Roman"/>
                <w:szCs w:val="21"/>
                <w:lang w:val="en-US"/>
              </w:rPr>
              <w:t>经二级活性炭吸附装置处理由</w:t>
            </w:r>
            <w:r>
              <w:rPr>
                <w:rFonts w:hint="eastAsia" w:ascii="Times New Roman" w:hAnsi="Times New Roman" w:cs="Times New Roman"/>
                <w:szCs w:val="21"/>
                <w:lang w:val="en-US" w:eastAsia="zh-CN"/>
              </w:rPr>
              <w:t>两</w:t>
            </w:r>
            <w:r>
              <w:rPr>
                <w:rFonts w:hint="default" w:ascii="Times New Roman" w:hAnsi="Times New Roman" w:cs="Times New Roman"/>
                <w:szCs w:val="21"/>
                <w:lang w:val="en-US"/>
              </w:rPr>
              <w:t>根25米高排气筒达标排放</w:t>
            </w:r>
            <w:r>
              <w:rPr>
                <w:rFonts w:hint="eastAsia" w:ascii="Times New Roman" w:hAnsi="Times New Roman" w:cs="Times New Roman"/>
                <w:szCs w:val="21"/>
                <w:lang w:val="en-US" w:eastAsia="zh-CN"/>
              </w:rPr>
              <w:t>，危废暂存库</w:t>
            </w:r>
            <w:r>
              <w:rPr>
                <w:rFonts w:hint="default" w:ascii="Times New Roman" w:hAnsi="Times New Roman" w:cs="Times New Roman"/>
                <w:szCs w:val="21"/>
                <w:lang w:val="en-US"/>
              </w:rPr>
              <w:t>经二级活性炭吸附装置处理由</w:t>
            </w:r>
            <w:r>
              <w:rPr>
                <w:rFonts w:hint="eastAsia" w:ascii="Times New Roman" w:hAnsi="Times New Roman" w:cs="Times New Roman"/>
                <w:szCs w:val="21"/>
                <w:lang w:val="en-US" w:eastAsia="zh-CN"/>
              </w:rPr>
              <w:t>一</w:t>
            </w:r>
            <w:r>
              <w:rPr>
                <w:rFonts w:hint="default" w:ascii="Times New Roman" w:hAnsi="Times New Roman" w:cs="Times New Roman"/>
                <w:szCs w:val="21"/>
                <w:lang w:val="en-US"/>
              </w:rPr>
              <w:t>根</w:t>
            </w:r>
            <w:r>
              <w:rPr>
                <w:rFonts w:hint="eastAsia" w:ascii="Times New Roman" w:hAnsi="Times New Roman" w:cs="Times New Roman"/>
                <w:szCs w:val="21"/>
                <w:lang w:val="en-US" w:eastAsia="zh-CN"/>
              </w:rPr>
              <w:t>1</w:t>
            </w:r>
            <w:r>
              <w:rPr>
                <w:rFonts w:hint="default" w:ascii="Times New Roman" w:hAnsi="Times New Roman" w:cs="Times New Roman"/>
                <w:szCs w:val="21"/>
                <w:lang w:val="en-US"/>
              </w:rPr>
              <w:t>5米高排气筒达标排放</w:t>
            </w:r>
          </w:p>
        </w:tc>
        <w:tc>
          <w:tcPr>
            <w:tcW w:w="1757" w:type="dxa"/>
            <w:vAlign w:val="center"/>
          </w:tcPr>
          <w:p w14:paraId="3835D2EF">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江苏省《大气污染物综合排放标准》（DB32/4041-2021）表1</w:t>
            </w:r>
          </w:p>
        </w:tc>
      </w:tr>
      <w:tr w14:paraId="56783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778" w:type="dxa"/>
            <w:vMerge w:val="continue"/>
            <w:vAlign w:val="center"/>
          </w:tcPr>
          <w:p w14:paraId="495FFE8A">
            <w:pPr>
              <w:pStyle w:val="30"/>
              <w:spacing w:line="243" w:lineRule="exact"/>
              <w:ind w:right="78"/>
              <w:jc w:val="center"/>
              <w:rPr>
                <w:rFonts w:hint="default" w:ascii="Times New Roman" w:hAnsi="Times New Roman" w:cs="Times New Roman"/>
                <w:szCs w:val="21"/>
              </w:rPr>
            </w:pPr>
          </w:p>
        </w:tc>
        <w:tc>
          <w:tcPr>
            <w:tcW w:w="1755" w:type="dxa"/>
            <w:vAlign w:val="center"/>
          </w:tcPr>
          <w:p w14:paraId="49643573">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无组织</w:t>
            </w:r>
          </w:p>
        </w:tc>
        <w:tc>
          <w:tcPr>
            <w:tcW w:w="1755" w:type="dxa"/>
            <w:vAlign w:val="center"/>
          </w:tcPr>
          <w:p w14:paraId="3676D05D">
            <w:pPr>
              <w:pStyle w:val="30"/>
              <w:spacing w:line="243" w:lineRule="exact"/>
              <w:ind w:right="78"/>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rPr>
              <w:t>非甲烷总烃</w:t>
            </w:r>
          </w:p>
        </w:tc>
        <w:tc>
          <w:tcPr>
            <w:tcW w:w="1755" w:type="dxa"/>
            <w:vAlign w:val="center"/>
          </w:tcPr>
          <w:p w14:paraId="46EE0B59">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加强厂房通风</w:t>
            </w:r>
          </w:p>
        </w:tc>
        <w:tc>
          <w:tcPr>
            <w:tcW w:w="1757" w:type="dxa"/>
            <w:vAlign w:val="center"/>
          </w:tcPr>
          <w:p w14:paraId="5169190B">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江苏省《大气污染物综合排放标准》（DB32/4041-2021）表3</w:t>
            </w:r>
          </w:p>
        </w:tc>
      </w:tr>
      <w:tr w14:paraId="6C655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14:paraId="419E485A">
            <w:pPr>
              <w:pStyle w:val="30"/>
              <w:spacing w:line="243" w:lineRule="exact"/>
              <w:ind w:right="78"/>
              <w:jc w:val="center"/>
              <w:rPr>
                <w:rFonts w:hint="default" w:ascii="Times New Roman" w:hAnsi="Times New Roman" w:cs="Times New Roman"/>
                <w:szCs w:val="21"/>
              </w:rPr>
            </w:pPr>
          </w:p>
        </w:tc>
        <w:tc>
          <w:tcPr>
            <w:tcW w:w="1755" w:type="dxa"/>
            <w:vAlign w:val="center"/>
          </w:tcPr>
          <w:p w14:paraId="0E74541D">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厂区内</w:t>
            </w:r>
          </w:p>
        </w:tc>
        <w:tc>
          <w:tcPr>
            <w:tcW w:w="1755" w:type="dxa"/>
            <w:vAlign w:val="center"/>
          </w:tcPr>
          <w:p w14:paraId="4C080F6B">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非甲烷总烃</w:t>
            </w:r>
          </w:p>
        </w:tc>
        <w:tc>
          <w:tcPr>
            <w:tcW w:w="1755" w:type="dxa"/>
            <w:vAlign w:val="center"/>
          </w:tcPr>
          <w:p w14:paraId="30D60C9D">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w:t>
            </w:r>
          </w:p>
        </w:tc>
        <w:tc>
          <w:tcPr>
            <w:tcW w:w="1757" w:type="dxa"/>
            <w:vAlign w:val="center"/>
          </w:tcPr>
          <w:p w14:paraId="261EC13E">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江苏省《大气污染物综合排放标准》（DB32/4041-2021）表2</w:t>
            </w:r>
          </w:p>
        </w:tc>
      </w:tr>
      <w:tr w14:paraId="7BEC3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14:paraId="450E891E">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地表水环境</w:t>
            </w:r>
          </w:p>
        </w:tc>
        <w:tc>
          <w:tcPr>
            <w:tcW w:w="1755" w:type="dxa"/>
            <w:vAlign w:val="center"/>
          </w:tcPr>
          <w:p w14:paraId="22E91781">
            <w:pPr>
              <w:pStyle w:val="30"/>
              <w:spacing w:line="243" w:lineRule="exact"/>
              <w:ind w:right="78"/>
              <w:jc w:val="center"/>
              <w:rPr>
                <w:rFonts w:hint="eastAsia" w:ascii="Times New Roman" w:hAnsi="Times New Roman" w:eastAsia="宋体" w:cs="Times New Roman"/>
                <w:szCs w:val="21"/>
                <w:lang w:val="en-US" w:eastAsia="zh-CN"/>
              </w:rPr>
            </w:pPr>
            <w:r>
              <w:rPr>
                <w:rFonts w:hint="default" w:ascii="Times New Roman" w:hAnsi="Times New Roman" w:cs="Times New Roman"/>
                <w:szCs w:val="21"/>
              </w:rPr>
              <w:t>生活污水</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含食堂污水</w:t>
            </w:r>
            <w:r>
              <w:rPr>
                <w:rFonts w:hint="eastAsia" w:ascii="Times New Roman" w:hAnsi="Times New Roman" w:cs="Times New Roman"/>
                <w:szCs w:val="21"/>
                <w:lang w:eastAsia="zh-CN"/>
              </w:rPr>
              <w:t>）</w:t>
            </w:r>
          </w:p>
        </w:tc>
        <w:tc>
          <w:tcPr>
            <w:tcW w:w="1755" w:type="dxa"/>
            <w:vAlign w:val="center"/>
          </w:tcPr>
          <w:p w14:paraId="581F8A7D">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COD</w:t>
            </w:r>
            <w:r>
              <w:rPr>
                <w:rFonts w:hint="default" w:ascii="Times New Roman" w:hAnsi="Times New Roman" w:cs="Times New Roman"/>
                <w:szCs w:val="21"/>
              </w:rPr>
              <w:t>、</w:t>
            </w:r>
            <w:r>
              <w:rPr>
                <w:rFonts w:hint="default" w:ascii="Times New Roman" w:hAnsi="Times New Roman" w:cs="Times New Roman"/>
                <w:szCs w:val="21"/>
                <w:lang w:val="en-US"/>
              </w:rPr>
              <w:t>SS</w:t>
            </w:r>
            <w:r>
              <w:rPr>
                <w:rFonts w:hint="default" w:ascii="Times New Roman" w:hAnsi="Times New Roman" w:cs="Times New Roman"/>
                <w:szCs w:val="21"/>
              </w:rPr>
              <w:t>、</w:t>
            </w:r>
            <w:r>
              <w:rPr>
                <w:rFonts w:hint="default" w:ascii="Times New Roman" w:hAnsi="Times New Roman" w:cs="Times New Roman"/>
                <w:szCs w:val="21"/>
                <w:lang w:val="en-US"/>
              </w:rPr>
              <w:t>NH</w:t>
            </w:r>
            <w:r>
              <w:rPr>
                <w:rFonts w:hint="default" w:ascii="Times New Roman" w:hAnsi="Times New Roman" w:cs="Times New Roman"/>
                <w:szCs w:val="21"/>
                <w:vertAlign w:val="subscript"/>
                <w:lang w:val="en-US"/>
              </w:rPr>
              <w:t>3</w:t>
            </w:r>
            <w:r>
              <w:rPr>
                <w:rFonts w:hint="default" w:ascii="Times New Roman" w:hAnsi="Times New Roman" w:cs="Times New Roman"/>
                <w:szCs w:val="21"/>
                <w:lang w:val="en-US"/>
              </w:rPr>
              <w:t>-N</w:t>
            </w:r>
            <w:r>
              <w:rPr>
                <w:rFonts w:hint="default" w:ascii="Times New Roman" w:hAnsi="Times New Roman" w:cs="Times New Roman"/>
                <w:szCs w:val="21"/>
              </w:rPr>
              <w:t>、</w:t>
            </w:r>
            <w:r>
              <w:rPr>
                <w:rFonts w:hint="default" w:ascii="Times New Roman" w:hAnsi="Times New Roman" w:cs="Times New Roman"/>
                <w:szCs w:val="21"/>
                <w:lang w:val="en-US"/>
              </w:rPr>
              <w:t>TP、TN、动植物油</w:t>
            </w:r>
          </w:p>
        </w:tc>
        <w:tc>
          <w:tcPr>
            <w:tcW w:w="1755" w:type="dxa"/>
            <w:vMerge w:val="restart"/>
            <w:vAlign w:val="center"/>
          </w:tcPr>
          <w:p w14:paraId="3EEC0D77">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接管至</w:t>
            </w:r>
            <w:r>
              <w:rPr>
                <w:rFonts w:hint="default" w:ascii="Times New Roman" w:hAnsi="Times New Roman" w:cs="Times New Roman"/>
                <w:szCs w:val="21"/>
                <w:lang w:val="en-US"/>
              </w:rPr>
              <w:t>扬州</w:t>
            </w:r>
            <w:r>
              <w:rPr>
                <w:rFonts w:hint="default" w:ascii="Times New Roman" w:hAnsi="Times New Roman" w:cs="Times New Roman"/>
                <w:szCs w:val="21"/>
              </w:rPr>
              <w:t>市</w:t>
            </w:r>
            <w:r>
              <w:rPr>
                <w:rFonts w:hint="default" w:ascii="Times New Roman" w:hAnsi="Times New Roman" w:cs="Times New Roman"/>
                <w:szCs w:val="21"/>
                <w:lang w:val="en-US"/>
              </w:rPr>
              <w:t>六圩污水处理厂</w:t>
            </w:r>
            <w:r>
              <w:rPr>
                <w:rFonts w:hint="default" w:ascii="Times New Roman" w:hAnsi="Times New Roman" w:cs="Times New Roman"/>
                <w:szCs w:val="21"/>
              </w:rPr>
              <w:t>处理</w:t>
            </w:r>
          </w:p>
        </w:tc>
        <w:tc>
          <w:tcPr>
            <w:tcW w:w="1757" w:type="dxa"/>
            <w:vMerge w:val="restart"/>
            <w:vAlign w:val="center"/>
          </w:tcPr>
          <w:p w14:paraId="1B3AE1B7">
            <w:pPr>
              <w:pStyle w:val="30"/>
              <w:spacing w:line="243" w:lineRule="exact"/>
              <w:ind w:right="78"/>
              <w:jc w:val="center"/>
              <w:rPr>
                <w:rFonts w:hint="default" w:ascii="Times New Roman" w:hAnsi="Times New Roman" w:cs="Times New Roman"/>
                <w:szCs w:val="21"/>
                <w:lang w:val="en-US" w:eastAsia="zh-CN"/>
              </w:rPr>
            </w:pPr>
            <w:r>
              <w:rPr>
                <w:rFonts w:hint="default" w:ascii="Times New Roman" w:hAnsi="Times New Roman" w:cs="Times New Roman"/>
                <w:szCs w:val="21"/>
                <w:lang w:val="en-US"/>
              </w:rPr>
              <w:t>《城镇污水处理厂污染物排放标准》（GB 18918-2002）中一级A标准</w:t>
            </w:r>
          </w:p>
        </w:tc>
      </w:tr>
      <w:tr w14:paraId="4BB43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14:paraId="3C468F96">
            <w:pPr>
              <w:pStyle w:val="30"/>
              <w:spacing w:line="243" w:lineRule="exact"/>
              <w:ind w:right="78"/>
              <w:jc w:val="center"/>
              <w:rPr>
                <w:rFonts w:hint="default" w:ascii="Times New Roman" w:hAnsi="Times New Roman" w:cs="Times New Roman"/>
                <w:szCs w:val="21"/>
              </w:rPr>
            </w:pPr>
          </w:p>
        </w:tc>
        <w:tc>
          <w:tcPr>
            <w:tcW w:w="1755" w:type="dxa"/>
            <w:vAlign w:val="center"/>
          </w:tcPr>
          <w:p w14:paraId="5D5F8538">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综合废水</w:t>
            </w:r>
          </w:p>
        </w:tc>
        <w:tc>
          <w:tcPr>
            <w:tcW w:w="1755" w:type="dxa"/>
            <w:vAlign w:val="center"/>
          </w:tcPr>
          <w:p w14:paraId="7E5435C0">
            <w:pPr>
              <w:pStyle w:val="30"/>
              <w:spacing w:line="243" w:lineRule="exact"/>
              <w:ind w:right="78"/>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COD、</w:t>
            </w:r>
            <w:r>
              <w:rPr>
                <w:rFonts w:hint="default" w:ascii="Times New Roman" w:hAnsi="Times New Roman" w:cs="Times New Roman"/>
                <w:szCs w:val="21"/>
                <w:lang w:val="en-US"/>
              </w:rPr>
              <w:t>SS</w:t>
            </w:r>
            <w:r>
              <w:rPr>
                <w:rFonts w:hint="eastAsia" w:ascii="Times New Roman" w:hAnsi="Times New Roman" w:cs="Times New Roman"/>
                <w:szCs w:val="21"/>
                <w:lang w:val="en-US" w:eastAsia="zh-CN"/>
              </w:rPr>
              <w:t>、石油类、LAS</w:t>
            </w:r>
          </w:p>
        </w:tc>
        <w:tc>
          <w:tcPr>
            <w:tcW w:w="1755" w:type="dxa"/>
            <w:vMerge w:val="continue"/>
            <w:vAlign w:val="center"/>
          </w:tcPr>
          <w:p w14:paraId="2760D766">
            <w:pPr>
              <w:pStyle w:val="30"/>
              <w:spacing w:line="243" w:lineRule="exact"/>
              <w:ind w:right="78"/>
              <w:jc w:val="center"/>
              <w:rPr>
                <w:rFonts w:hint="default" w:ascii="Times New Roman" w:hAnsi="Times New Roman" w:cs="Times New Roman"/>
                <w:szCs w:val="21"/>
                <w:lang w:val="en-US"/>
              </w:rPr>
            </w:pPr>
          </w:p>
        </w:tc>
        <w:tc>
          <w:tcPr>
            <w:tcW w:w="1757" w:type="dxa"/>
            <w:vMerge w:val="continue"/>
            <w:vAlign w:val="center"/>
          </w:tcPr>
          <w:p w14:paraId="2FA7A704">
            <w:pPr>
              <w:pStyle w:val="30"/>
              <w:spacing w:line="243" w:lineRule="exact"/>
              <w:ind w:right="78"/>
              <w:jc w:val="center"/>
              <w:rPr>
                <w:rFonts w:hint="default" w:ascii="Times New Roman" w:hAnsi="Times New Roman" w:cs="Times New Roman"/>
                <w:szCs w:val="21"/>
                <w:lang w:val="en-US"/>
              </w:rPr>
            </w:pPr>
          </w:p>
        </w:tc>
      </w:tr>
      <w:tr w14:paraId="118EF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01E06F0F">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声环境</w:t>
            </w:r>
          </w:p>
        </w:tc>
        <w:tc>
          <w:tcPr>
            <w:tcW w:w="1755" w:type="dxa"/>
            <w:vAlign w:val="center"/>
          </w:tcPr>
          <w:p w14:paraId="6AEDA033">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生产设备、研发设备、公辅设备等</w:t>
            </w:r>
          </w:p>
        </w:tc>
        <w:tc>
          <w:tcPr>
            <w:tcW w:w="1755" w:type="dxa"/>
            <w:vAlign w:val="center"/>
          </w:tcPr>
          <w:p w14:paraId="6A453775">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等效</w:t>
            </w:r>
            <w:r>
              <w:rPr>
                <w:rFonts w:hint="default" w:ascii="Times New Roman" w:hAnsi="Times New Roman" w:cs="Times New Roman"/>
                <w:szCs w:val="21"/>
                <w:lang w:val="en-US"/>
              </w:rPr>
              <w:t>A声级</w:t>
            </w:r>
          </w:p>
        </w:tc>
        <w:tc>
          <w:tcPr>
            <w:tcW w:w="1755" w:type="dxa"/>
            <w:vAlign w:val="center"/>
          </w:tcPr>
          <w:p w14:paraId="68657CE9">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选用低噪声设备；通过合理布局，采用隔声、减振、绿化等措施。</w:t>
            </w:r>
          </w:p>
        </w:tc>
        <w:tc>
          <w:tcPr>
            <w:tcW w:w="1757" w:type="dxa"/>
            <w:vAlign w:val="center"/>
          </w:tcPr>
          <w:p w14:paraId="26DDEC63">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《工业企业厂界环境噪声排放标准》（GB12348-2008）表1中3类标准</w:t>
            </w:r>
          </w:p>
        </w:tc>
      </w:tr>
      <w:tr w14:paraId="6999A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125B0984">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电磁辐射</w:t>
            </w:r>
          </w:p>
        </w:tc>
        <w:tc>
          <w:tcPr>
            <w:tcW w:w="1755" w:type="dxa"/>
            <w:vAlign w:val="center"/>
          </w:tcPr>
          <w:p w14:paraId="2BB62D07">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无</w:t>
            </w:r>
          </w:p>
        </w:tc>
        <w:tc>
          <w:tcPr>
            <w:tcW w:w="1755" w:type="dxa"/>
            <w:vAlign w:val="center"/>
          </w:tcPr>
          <w:p w14:paraId="0886DAF6">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w:t>
            </w:r>
          </w:p>
        </w:tc>
        <w:tc>
          <w:tcPr>
            <w:tcW w:w="1755" w:type="dxa"/>
            <w:vAlign w:val="center"/>
          </w:tcPr>
          <w:p w14:paraId="293976F2">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w:t>
            </w:r>
          </w:p>
        </w:tc>
        <w:tc>
          <w:tcPr>
            <w:tcW w:w="1757" w:type="dxa"/>
            <w:vAlign w:val="center"/>
          </w:tcPr>
          <w:p w14:paraId="0C093E09">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lang w:val="en-US"/>
              </w:rPr>
              <w:t>/</w:t>
            </w:r>
          </w:p>
        </w:tc>
      </w:tr>
      <w:tr w14:paraId="7DCCC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3CDDBBA7">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固体废物</w:t>
            </w:r>
          </w:p>
        </w:tc>
        <w:tc>
          <w:tcPr>
            <w:tcW w:w="7022" w:type="dxa"/>
            <w:gridSpan w:val="4"/>
            <w:vAlign w:val="center"/>
          </w:tcPr>
          <w:p w14:paraId="2FCCB217">
            <w:pPr>
              <w:pStyle w:val="30"/>
              <w:spacing w:line="243" w:lineRule="exact"/>
              <w:ind w:right="78"/>
              <w:rPr>
                <w:rFonts w:hint="default" w:ascii="Times New Roman" w:hAnsi="Times New Roman" w:cs="Times New Roman"/>
                <w:szCs w:val="21"/>
                <w:lang w:val="en-US"/>
              </w:rPr>
            </w:pPr>
            <w:r>
              <w:rPr>
                <w:rFonts w:hint="default" w:ascii="Times New Roman" w:hAnsi="Times New Roman" w:cs="Times New Roman"/>
                <w:szCs w:val="21"/>
              </w:rPr>
              <w:t>本项目一般工业固废为</w:t>
            </w:r>
            <w:r>
              <w:rPr>
                <w:rFonts w:hint="default" w:ascii="Times New Roman" w:hAnsi="Times New Roman" w:cs="Times New Roman"/>
                <w:szCs w:val="21"/>
                <w:lang w:val="en-US"/>
              </w:rPr>
              <w:t>一般废包装材料，废靶材，</w:t>
            </w:r>
            <w:r>
              <w:rPr>
                <w:rFonts w:hint="eastAsia" w:ascii="Times New Roman" w:hAnsi="Times New Roman" w:cs="Times New Roman"/>
                <w:szCs w:val="21"/>
                <w:lang w:val="en-US" w:eastAsia="zh-CN"/>
              </w:rPr>
              <w:t>废滤芯，废反渗透膜</w:t>
            </w:r>
            <w:r>
              <w:rPr>
                <w:rFonts w:hint="default" w:ascii="Times New Roman" w:hAnsi="Times New Roman" w:cs="Times New Roman"/>
                <w:szCs w:val="21"/>
                <w:lang w:val="en-US"/>
              </w:rPr>
              <w:t>。</w:t>
            </w:r>
            <w:r>
              <w:rPr>
                <w:rFonts w:hint="default" w:ascii="Times New Roman" w:hAnsi="Times New Roman" w:cs="Times New Roman"/>
                <w:szCs w:val="21"/>
              </w:rPr>
              <w:t>一般工业固废</w:t>
            </w:r>
            <w:r>
              <w:rPr>
                <w:rFonts w:hint="default" w:ascii="Times New Roman" w:hAnsi="Times New Roman" w:cs="Times New Roman"/>
                <w:szCs w:val="21"/>
                <w:lang w:val="en-US"/>
              </w:rPr>
              <w:t>经收集后贮存于厂区专门</w:t>
            </w:r>
            <w:r>
              <w:rPr>
                <w:rFonts w:hint="default" w:ascii="Times New Roman" w:hAnsi="Times New Roman" w:cs="Times New Roman"/>
                <w:szCs w:val="21"/>
              </w:rPr>
              <w:t>的</w:t>
            </w:r>
            <w:r>
              <w:rPr>
                <w:rFonts w:hint="default" w:ascii="Times New Roman" w:hAnsi="Times New Roman" w:cs="Times New Roman"/>
                <w:szCs w:val="21"/>
                <w:lang w:val="en-US"/>
              </w:rPr>
              <w:t>一般</w:t>
            </w:r>
            <w:r>
              <w:rPr>
                <w:rFonts w:hint="default" w:ascii="Times New Roman" w:hAnsi="Times New Roman" w:cs="Times New Roman"/>
                <w:szCs w:val="21"/>
              </w:rPr>
              <w:t>固废暂存区，不与生活垃圾混放。</w:t>
            </w:r>
            <w:r>
              <w:rPr>
                <w:rFonts w:hint="default" w:ascii="Times New Roman" w:hAnsi="Times New Roman" w:cs="Times New Roman"/>
                <w:szCs w:val="21"/>
                <w:lang w:val="en-US"/>
              </w:rPr>
              <w:t>一般废包装材料</w:t>
            </w:r>
            <w:r>
              <w:rPr>
                <w:rFonts w:hint="default" w:ascii="Times New Roman" w:hAnsi="Times New Roman" w:cs="Times New Roman"/>
                <w:szCs w:val="21"/>
              </w:rPr>
              <w:t>外售，</w:t>
            </w:r>
            <w:r>
              <w:rPr>
                <w:rFonts w:hint="default" w:ascii="Times New Roman" w:hAnsi="Times New Roman" w:cs="Times New Roman"/>
                <w:szCs w:val="21"/>
                <w:lang w:val="en-US"/>
              </w:rPr>
              <w:t>废靶材</w:t>
            </w:r>
            <w:r>
              <w:rPr>
                <w:rFonts w:hint="eastAsia" w:ascii="Times New Roman" w:hAnsi="Times New Roman" w:cs="Times New Roman"/>
                <w:szCs w:val="21"/>
                <w:lang w:val="en-US" w:eastAsia="zh-CN"/>
              </w:rPr>
              <w:t>、废滤芯和废反渗透膜由</w:t>
            </w:r>
            <w:r>
              <w:rPr>
                <w:rFonts w:hint="default" w:ascii="Times New Roman" w:hAnsi="Times New Roman" w:cs="Times New Roman"/>
                <w:szCs w:val="21"/>
                <w:lang w:val="en-US"/>
              </w:rPr>
              <w:t>厂家回收。</w:t>
            </w:r>
            <w:r>
              <w:rPr>
                <w:rFonts w:hint="default" w:ascii="Times New Roman" w:hAnsi="Times New Roman" w:cs="Times New Roman"/>
                <w:szCs w:val="21"/>
              </w:rPr>
              <w:t>生活垃圾由环卫部门统一收集。危险废物有</w:t>
            </w:r>
            <w:r>
              <w:rPr>
                <w:rFonts w:hint="default" w:ascii="Times New Roman" w:hAnsi="Times New Roman" w:cs="Times New Roman"/>
                <w:szCs w:val="21"/>
                <w:lang w:val="en-US"/>
              </w:rPr>
              <w:t>废气处理设施</w:t>
            </w:r>
            <w:r>
              <w:rPr>
                <w:rFonts w:hint="default" w:ascii="Times New Roman" w:hAnsi="Times New Roman" w:cs="Times New Roman"/>
                <w:bCs/>
                <w:szCs w:val="21"/>
              </w:rPr>
              <w:t>废活性炭、</w:t>
            </w:r>
            <w:r>
              <w:rPr>
                <w:rFonts w:hint="default" w:ascii="Times New Roman" w:hAnsi="Times New Roman" w:cs="Times New Roman"/>
                <w:bCs/>
                <w:szCs w:val="21"/>
                <w:lang w:val="en-US"/>
              </w:rPr>
              <w:t>清洗废液、</w:t>
            </w:r>
            <w:r>
              <w:rPr>
                <w:rFonts w:hint="eastAsia" w:ascii="Times New Roman" w:hAnsi="Times New Roman" w:cs="Times New Roman"/>
                <w:bCs/>
                <w:szCs w:val="21"/>
                <w:lang w:val="en-US" w:eastAsia="zh-CN"/>
              </w:rPr>
              <w:t>废擦拭乙醇</w:t>
            </w:r>
            <w:r>
              <w:rPr>
                <w:rFonts w:hint="default" w:ascii="Times New Roman" w:hAnsi="Times New Roman" w:cs="Times New Roman"/>
                <w:bCs/>
                <w:szCs w:val="21"/>
                <w:lang w:val="en-US"/>
              </w:rPr>
              <w:t>、实验配液间废一次性器具及防护用品、废涂布溶液，化学品废包装材料、</w:t>
            </w:r>
            <w:r>
              <w:rPr>
                <w:rFonts w:hint="eastAsia" w:ascii="Times New Roman" w:hAnsi="Times New Roman" w:cs="Times New Roman"/>
                <w:bCs/>
                <w:szCs w:val="21"/>
                <w:lang w:val="en-US" w:eastAsia="zh-CN"/>
              </w:rPr>
              <w:t>报废品、</w:t>
            </w:r>
            <w:r>
              <w:rPr>
                <w:rFonts w:hint="eastAsia" w:ascii="Times New Roman" w:hAnsi="Times New Roman" w:cs="Times New Roman"/>
                <w:szCs w:val="21"/>
                <w:lang w:val="en-US" w:eastAsia="zh-CN"/>
              </w:rPr>
              <w:t>粉尘</w:t>
            </w:r>
            <w:r>
              <w:rPr>
                <w:rFonts w:hint="eastAsia" w:ascii="Times New Roman" w:hAnsi="Times New Roman" w:cs="Times New Roman"/>
                <w:bCs/>
                <w:szCs w:val="21"/>
                <w:lang w:val="en-US" w:eastAsia="zh-CN"/>
              </w:rPr>
              <w:t>和废润滑油</w:t>
            </w:r>
            <w:r>
              <w:rPr>
                <w:rFonts w:hint="default" w:ascii="Times New Roman" w:hAnsi="Times New Roman" w:cs="Times New Roman"/>
                <w:bCs/>
                <w:szCs w:val="21"/>
                <w:lang w:val="en-US"/>
              </w:rPr>
              <w:t>等</w:t>
            </w:r>
            <w:r>
              <w:rPr>
                <w:rFonts w:hint="default" w:ascii="Times New Roman" w:hAnsi="Times New Roman" w:cs="Times New Roman"/>
                <w:szCs w:val="21"/>
              </w:rPr>
              <w:t>委托有资质单位处置。</w:t>
            </w:r>
          </w:p>
        </w:tc>
      </w:tr>
      <w:tr w14:paraId="329A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778" w:type="dxa"/>
            <w:vAlign w:val="center"/>
          </w:tcPr>
          <w:p w14:paraId="67A48479">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土壤及地下水</w:t>
            </w:r>
          </w:p>
          <w:p w14:paraId="4E445E9A">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污染防治措施</w:t>
            </w:r>
          </w:p>
        </w:tc>
        <w:tc>
          <w:tcPr>
            <w:tcW w:w="7022" w:type="dxa"/>
            <w:gridSpan w:val="4"/>
            <w:vAlign w:val="center"/>
          </w:tcPr>
          <w:p w14:paraId="55CE191B">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厂区内分一般防渗区、重点防渗区；</w:t>
            </w:r>
            <w:r>
              <w:rPr>
                <w:rFonts w:hint="eastAsia" w:ascii="Times New Roman" w:hAnsi="Times New Roman" w:cs="Times New Roman"/>
                <w:szCs w:val="21"/>
                <w:lang w:val="en-US" w:eastAsia="zh-CN"/>
              </w:rPr>
              <w:t>生产厂房、</w:t>
            </w:r>
            <w:r>
              <w:rPr>
                <w:rFonts w:hint="default" w:ascii="Times New Roman" w:hAnsi="Times New Roman" w:cs="Times New Roman"/>
                <w:szCs w:val="21"/>
              </w:rPr>
              <w:t>危废仓库和</w:t>
            </w:r>
            <w:r>
              <w:rPr>
                <w:rFonts w:hint="eastAsia" w:ascii="Times New Roman" w:hAnsi="Times New Roman" w:cs="Times New Roman"/>
                <w:szCs w:val="21"/>
                <w:lang w:val="en-US" w:eastAsia="zh-CN"/>
              </w:rPr>
              <w:t>原辅料仓库</w:t>
            </w:r>
            <w:r>
              <w:rPr>
                <w:rFonts w:hint="default" w:ascii="Times New Roman" w:hAnsi="Times New Roman" w:cs="Times New Roman"/>
                <w:szCs w:val="21"/>
              </w:rPr>
              <w:t>属于重点防渗区。建设单位应确保做好危废仓库等容易渗漏引起土壤、地下水污染区域的管理，做好防渗、防雨、防风、防淋等措施。避免发生跑冒滴漏现象，如发现应立即采取应急措施，确保不会对厂区地下水造成大的影响。</w:t>
            </w:r>
          </w:p>
        </w:tc>
      </w:tr>
      <w:tr w14:paraId="3A7BF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78" w:type="dxa"/>
            <w:vAlign w:val="center"/>
          </w:tcPr>
          <w:p w14:paraId="4AAD2281">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生态保护措施</w:t>
            </w:r>
          </w:p>
        </w:tc>
        <w:tc>
          <w:tcPr>
            <w:tcW w:w="7022" w:type="dxa"/>
            <w:gridSpan w:val="4"/>
            <w:vAlign w:val="center"/>
          </w:tcPr>
          <w:p w14:paraId="5034AA1D">
            <w:pPr>
              <w:pStyle w:val="30"/>
              <w:spacing w:line="243" w:lineRule="exact"/>
              <w:ind w:right="78"/>
              <w:jc w:val="center"/>
              <w:rPr>
                <w:rFonts w:hint="default" w:ascii="Times New Roman" w:hAnsi="Times New Roman" w:cs="Times New Roman"/>
                <w:szCs w:val="21"/>
                <w:lang w:val="en-US"/>
              </w:rPr>
            </w:pPr>
            <w:r>
              <w:rPr>
                <w:rFonts w:hint="default" w:ascii="Times New Roman" w:hAnsi="Times New Roman" w:cs="Times New Roman"/>
                <w:szCs w:val="21"/>
              </w:rPr>
              <w:t>不涉及</w:t>
            </w:r>
          </w:p>
        </w:tc>
      </w:tr>
      <w:tr w14:paraId="6F366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1778" w:type="dxa"/>
            <w:vAlign w:val="center"/>
          </w:tcPr>
          <w:p w14:paraId="503BBF4B">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环境风险</w:t>
            </w:r>
          </w:p>
          <w:p w14:paraId="17BAD98F">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防范措施</w:t>
            </w:r>
          </w:p>
        </w:tc>
        <w:tc>
          <w:tcPr>
            <w:tcW w:w="7022" w:type="dxa"/>
            <w:gridSpan w:val="4"/>
            <w:vAlign w:val="center"/>
          </w:tcPr>
          <w:p w14:paraId="400A99B7">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1）厂房设置隔离，必须安装消防措施，加强通风，同时仓储驻地严禁烟火。</w:t>
            </w:r>
          </w:p>
          <w:p w14:paraId="7E5948A6">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固废</w:t>
            </w:r>
            <w:r>
              <w:rPr>
                <w:rFonts w:hint="default" w:ascii="Times New Roman" w:hAnsi="Times New Roman" w:cs="Times New Roman"/>
                <w:szCs w:val="21"/>
              </w:rPr>
              <w:t>等贮存地点存放位置妥善保存。</w:t>
            </w:r>
          </w:p>
          <w:p w14:paraId="052828D3">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3）加强现有项目原料管理，检查包装桶质量，预防包装桶破碎。</w:t>
            </w:r>
          </w:p>
          <w:p w14:paraId="1B28E719">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4）为预防事故的发生，成立应急事故领导小组。</w:t>
            </w:r>
          </w:p>
          <w:p w14:paraId="01E7566C">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5）每个生产岗位必须要有一个明确而又能为所有在岗人员熟悉的安全方针；并定期组织员工培训，熟练掌握应急事故处理措施。</w:t>
            </w:r>
          </w:p>
          <w:p w14:paraId="720B1AC1">
            <w:pPr>
              <w:pStyle w:val="30"/>
              <w:spacing w:line="243" w:lineRule="exact"/>
              <w:ind w:right="78"/>
              <w:rPr>
                <w:rFonts w:hint="default" w:ascii="Times New Roman" w:hAnsi="Times New Roman" w:cs="Times New Roman"/>
                <w:szCs w:val="21"/>
                <w:lang w:val="en-US"/>
              </w:rPr>
            </w:pPr>
            <w:r>
              <w:rPr>
                <w:rFonts w:hint="default" w:ascii="Times New Roman" w:hAnsi="Times New Roman" w:cs="Times New Roman"/>
                <w:szCs w:val="21"/>
              </w:rPr>
              <w:t>6）针对可能出现的情况，制定周密全面的应急措施方案，并指定专人负责。同时，定期进行模拟演练，根据演练过程中发现的新情况、新问题，及时修订和完善应急方案。</w:t>
            </w:r>
          </w:p>
        </w:tc>
      </w:tr>
      <w:tr w14:paraId="341E0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0CFAC5DD">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其他环境</w:t>
            </w:r>
          </w:p>
          <w:p w14:paraId="7F26C7EB">
            <w:pPr>
              <w:pStyle w:val="30"/>
              <w:spacing w:line="243" w:lineRule="exact"/>
              <w:ind w:right="78"/>
              <w:jc w:val="center"/>
              <w:rPr>
                <w:rFonts w:hint="default" w:ascii="Times New Roman" w:hAnsi="Times New Roman" w:cs="Times New Roman"/>
                <w:szCs w:val="21"/>
              </w:rPr>
            </w:pPr>
            <w:r>
              <w:rPr>
                <w:rFonts w:hint="default" w:ascii="Times New Roman" w:hAnsi="Times New Roman" w:cs="Times New Roman"/>
                <w:szCs w:val="21"/>
              </w:rPr>
              <w:t>管理要求</w:t>
            </w:r>
          </w:p>
        </w:tc>
        <w:tc>
          <w:tcPr>
            <w:tcW w:w="7022" w:type="dxa"/>
            <w:gridSpan w:val="4"/>
            <w:vAlign w:val="center"/>
          </w:tcPr>
          <w:p w14:paraId="44841A75">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1、环境管理</w:t>
            </w:r>
          </w:p>
          <w:p w14:paraId="7EBDC26A">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（1）环境保护机构的设置</w:t>
            </w:r>
          </w:p>
          <w:p w14:paraId="3DEE0539">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项目的污染物排放水平与厂区环境管理水平密切相关，因此在采取环境保护工程措施和生态保护措施的同时，必须设立环境管理机构，配备专/兼职环境管理人员，加强环境管理。本项目需设置环境管理机构，设置兼/专职环境管理人员。</w:t>
            </w:r>
          </w:p>
          <w:p w14:paraId="252EC6A6">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（2）建立环境管理台账，并接受有关部门检查。台账内容包括：</w:t>
            </w:r>
          </w:p>
          <w:p w14:paraId="0BA0D84D">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A、污染物排放情况；</w:t>
            </w:r>
          </w:p>
          <w:p w14:paraId="519F4CDA">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B、污染物治理设施的运行、操作和管理情况；</w:t>
            </w:r>
          </w:p>
          <w:p w14:paraId="6D3DDA08">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C、各污染物的监测分析方法和监测记录；</w:t>
            </w:r>
          </w:p>
          <w:p w14:paraId="79B9B07B">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D、事故情况及有关记录；</w:t>
            </w:r>
          </w:p>
          <w:p w14:paraId="70662EDD">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E、其他与污染防治有关的情况和资料；</w:t>
            </w:r>
          </w:p>
          <w:p w14:paraId="1A500AFB">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F、环保设施运行能耗情况等。</w:t>
            </w:r>
          </w:p>
          <w:p w14:paraId="6B224195">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（3）环境管理要点</w:t>
            </w:r>
          </w:p>
          <w:p w14:paraId="598F9131">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①“三同时”验收</w:t>
            </w:r>
          </w:p>
          <w:p w14:paraId="619A70C4">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根据《建设项目环境保护管理条例》及其修改决定（国务院令第 682 号），建设项目竣工后，建设单位应进行竣工验收，验收后本项目方可正式投产运行。（环评影响评价</w:t>
            </w:r>
            <w:r>
              <w:rPr>
                <w:rFonts w:hint="eastAsia" w:ascii="Times New Roman" w:hAnsi="Times New Roman" w:cs="Times New Roman"/>
                <w:szCs w:val="21"/>
                <w:lang w:val="en-US" w:eastAsia="zh-CN"/>
              </w:rPr>
              <w:t>-</w:t>
            </w:r>
            <w:r>
              <w:rPr>
                <w:rFonts w:hint="default" w:ascii="Times New Roman" w:hAnsi="Times New Roman" w:cs="Times New Roman"/>
                <w:szCs w:val="21"/>
              </w:rPr>
              <w:t>环评排放文件-排污许可证办理-突发环境事件应急预案-竣工验收调试-竣工验收及信息公开）。</w:t>
            </w:r>
          </w:p>
          <w:p w14:paraId="09C28BEB">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②制定环境管理文件及实施细则</w:t>
            </w:r>
          </w:p>
          <w:p w14:paraId="0442DCF1">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根据国家、地方政府对企业环境管理的基本要求，结合项目的具体情况，制定环境管理文件和实施细则。</w:t>
            </w:r>
          </w:p>
          <w:p w14:paraId="3FCA6628">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③信息公开</w:t>
            </w:r>
          </w:p>
          <w:p w14:paraId="2D468CBF">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根据《建设项目环境保护事中事后监督管理办法（试行）》要求，建设单位应当主动向社会公开建设项目环境影响评价文件、污染防治设施建设运行情况、污染物排放情况、突发环境事件应急预案及应对情况等环境信息。</w:t>
            </w:r>
          </w:p>
          <w:p w14:paraId="40D5E053">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2、排污口规范化</w:t>
            </w:r>
          </w:p>
          <w:p w14:paraId="2882161D">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（1）排污口管理</w:t>
            </w:r>
          </w:p>
          <w:p w14:paraId="0C5E6A6A">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建设单位应在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0D42DF35">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（2）环境保护图形标志</w:t>
            </w:r>
          </w:p>
          <w:p w14:paraId="54BA1760">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在固体废物贮存处置场、噪声产生点应设置环境保护图形标志，图形符号分为提示图形和警告图形符号两种，分别按GB15562.1-1995、GB15562.2-1995 执行</w:t>
            </w:r>
          </w:p>
          <w:p w14:paraId="12777358">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3、环境保护档案管理</w:t>
            </w:r>
          </w:p>
          <w:p w14:paraId="098149BF">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公司环保部门负责项目的环境保护档案管理工作，环保档案实行专人管理责任到人。企业的所有环保资料应分类别整理、分类存档、科学管理，便于统计、查阅。在环境保护档案管理中，应建立如下文件档案：与本项目有关的法规、标准、规范和区域规划等；项目建设的有关环境保护的报告、设计方案及审查、审批文件；项目环保工程设施的设计、施工、安装的基础资料及验收资料；公司内部的环境保护管理制度、人员环保培训和考核记录；生态恢复工程、污染治理设施运行管理文件；环境监测记录技术文件；建立台账，如实记录生产原料、辅料的使用量、废弃量、去向，台账保存期限不得少于 5 年；所有导致污染事件的分析报告和检测数据资料等。</w:t>
            </w:r>
          </w:p>
          <w:p w14:paraId="5C0D76C2">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4、排污许可</w:t>
            </w:r>
          </w:p>
          <w:p w14:paraId="5ABB8913">
            <w:pPr>
              <w:pStyle w:val="30"/>
              <w:spacing w:line="243" w:lineRule="exact"/>
              <w:ind w:right="78"/>
              <w:rPr>
                <w:rFonts w:hint="default" w:ascii="Times New Roman" w:hAnsi="Times New Roman" w:cs="Times New Roman"/>
                <w:szCs w:val="21"/>
              </w:rPr>
            </w:pPr>
            <w:r>
              <w:rPr>
                <w:rFonts w:hint="default" w:ascii="Times New Roman" w:hAnsi="Times New Roman" w:cs="Times New Roman"/>
                <w:szCs w:val="21"/>
              </w:rPr>
              <w:t>建设单位应根据《固定污染源排污许可分类管理名录》，申请排污许可证，按照排污许可证要求进行排污。</w:t>
            </w:r>
          </w:p>
          <w:p w14:paraId="0E29337C">
            <w:pPr>
              <w:pStyle w:val="30"/>
              <w:spacing w:line="243" w:lineRule="exact"/>
              <w:ind w:right="78"/>
              <w:rPr>
                <w:rFonts w:hint="default" w:ascii="Times New Roman" w:hAnsi="Times New Roman" w:cs="Times New Roman"/>
                <w:sz w:val="18"/>
                <w:szCs w:val="18"/>
              </w:rPr>
            </w:pPr>
            <w:r>
              <w:rPr>
                <w:rFonts w:hint="eastAsia" w:ascii="Times New Roman" w:hAnsi="Times New Roman" w:cs="Times New Roman"/>
                <w:szCs w:val="21"/>
                <w:lang w:val="en-US" w:eastAsia="zh-CN"/>
              </w:rPr>
              <w:t>5</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监测计划</w:t>
            </w:r>
          </w:p>
          <w:p w14:paraId="242055C0">
            <w:pPr>
              <w:pStyle w:val="30"/>
              <w:spacing w:line="243" w:lineRule="exact"/>
              <w:ind w:right="78"/>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eastAsia="zh-CN"/>
              </w:rPr>
              <w:t>（</w:t>
            </w:r>
            <w:r>
              <w:rPr>
                <w:rFonts w:hint="eastAsia" w:ascii="Times New Roman" w:hAnsi="Times New Roman" w:cs="Times New Roman"/>
                <w:sz w:val="20"/>
                <w:szCs w:val="20"/>
                <w:lang w:val="en-US" w:eastAsia="zh-CN"/>
              </w:rPr>
              <w:t>1</w:t>
            </w:r>
            <w:r>
              <w:rPr>
                <w:rFonts w:hint="eastAsia" w:ascii="Times New Roman" w:hAnsi="Times New Roman" w:cs="Times New Roman"/>
                <w:sz w:val="20"/>
                <w:szCs w:val="20"/>
                <w:lang w:eastAsia="zh-CN"/>
              </w:rPr>
              <w:t>）</w:t>
            </w:r>
            <w:r>
              <w:rPr>
                <w:rFonts w:hint="eastAsia" w:ascii="Times New Roman" w:hAnsi="Times New Roman" w:cs="Times New Roman"/>
                <w:sz w:val="20"/>
                <w:szCs w:val="20"/>
                <w:lang w:val="en-US" w:eastAsia="zh-CN"/>
              </w:rPr>
              <w:t>自行监测计划</w:t>
            </w:r>
          </w:p>
          <w:p w14:paraId="35685339">
            <w:pPr>
              <w:pStyle w:val="30"/>
              <w:spacing w:line="243" w:lineRule="exact"/>
              <w:ind w:right="78"/>
              <w:rPr>
                <w:rFonts w:hint="default" w:ascii="Times New Roman" w:hAnsi="Times New Roman" w:cs="Times New Roman"/>
                <w:sz w:val="20"/>
                <w:szCs w:val="20"/>
              </w:rPr>
            </w:pPr>
            <w:r>
              <w:rPr>
                <w:rFonts w:hint="default" w:ascii="Times New Roman" w:hAnsi="Times New Roman" w:cs="Times New Roman"/>
                <w:sz w:val="20"/>
                <w:szCs w:val="20"/>
              </w:rPr>
              <w:t xml:space="preserve">根据《排污单位自行监测技术指南 总则》（HJ 819-2017）、排污许可证申请与核发技术规范  </w:t>
            </w:r>
            <w:r>
              <w:rPr>
                <w:rFonts w:hint="eastAsia" w:ascii="Times New Roman" w:hAnsi="Times New Roman" w:cs="Times New Roman"/>
                <w:sz w:val="20"/>
                <w:szCs w:val="20"/>
                <w:lang w:val="en-US" w:eastAsia="zh-CN"/>
              </w:rPr>
              <w:t>电池工</w:t>
            </w:r>
            <w:r>
              <w:rPr>
                <w:rFonts w:hint="default" w:ascii="Times New Roman" w:hAnsi="Times New Roman" w:cs="Times New Roman"/>
                <w:sz w:val="20"/>
                <w:szCs w:val="20"/>
              </w:rPr>
              <w:t xml:space="preserve">业》（HJ </w:t>
            </w:r>
            <w:r>
              <w:rPr>
                <w:rFonts w:hint="eastAsia" w:ascii="Times New Roman" w:hAnsi="Times New Roman" w:cs="Times New Roman"/>
                <w:sz w:val="20"/>
                <w:szCs w:val="20"/>
                <w:lang w:val="en-US" w:eastAsia="zh-CN"/>
              </w:rPr>
              <w:t>967</w:t>
            </w:r>
            <w:r>
              <w:rPr>
                <w:rFonts w:hint="default" w:ascii="Times New Roman" w:hAnsi="Times New Roman" w:cs="Times New Roman"/>
                <w:sz w:val="20"/>
                <w:szCs w:val="20"/>
              </w:rPr>
              <w:t>-20</w:t>
            </w:r>
            <w:r>
              <w:rPr>
                <w:rFonts w:hint="eastAsia" w:ascii="Times New Roman" w:hAnsi="Times New Roman" w:cs="Times New Roman"/>
                <w:sz w:val="20"/>
                <w:szCs w:val="20"/>
                <w:lang w:val="en-US" w:eastAsia="zh-CN"/>
              </w:rPr>
              <w:t>18</w:t>
            </w:r>
            <w:r>
              <w:rPr>
                <w:rFonts w:hint="default" w:ascii="Times New Roman" w:hAnsi="Times New Roman" w:cs="Times New Roman"/>
                <w:sz w:val="20"/>
                <w:szCs w:val="20"/>
              </w:rPr>
              <w:t>），建设单位定期委托有资质的检(监)测机构代其开展自行监测，根据监测结果编写自行监测年度报告并上报当地环境保护主管部门。</w:t>
            </w:r>
          </w:p>
          <w:p w14:paraId="4F041209">
            <w:pPr>
              <w:pStyle w:val="30"/>
              <w:spacing w:line="243" w:lineRule="exact"/>
              <w:ind w:right="78"/>
              <w:rPr>
                <w:rFonts w:hint="default" w:ascii="Times New Roman" w:hAnsi="Times New Roman" w:cs="Times New Roman"/>
                <w:sz w:val="20"/>
                <w:szCs w:val="20"/>
              </w:rPr>
            </w:pPr>
            <w:r>
              <w:rPr>
                <w:rFonts w:hint="default" w:ascii="Times New Roman" w:hAnsi="Times New Roman" w:cs="Times New Roman"/>
                <w:sz w:val="20"/>
                <w:szCs w:val="20"/>
              </w:rPr>
              <w:t>（</w:t>
            </w:r>
            <w:r>
              <w:rPr>
                <w:rFonts w:hint="eastAsia" w:ascii="Times New Roman" w:hAnsi="Times New Roman" w:cs="Times New Roman"/>
                <w:sz w:val="20"/>
                <w:szCs w:val="20"/>
                <w:lang w:val="en-US" w:eastAsia="zh-CN"/>
              </w:rPr>
              <w:t>2</w:t>
            </w:r>
            <w:r>
              <w:rPr>
                <w:rFonts w:hint="default" w:ascii="Times New Roman" w:hAnsi="Times New Roman" w:cs="Times New Roman"/>
                <w:sz w:val="20"/>
                <w:szCs w:val="20"/>
              </w:rPr>
              <w:t>）验收监测计划</w:t>
            </w:r>
          </w:p>
          <w:p w14:paraId="4259D94E">
            <w:pPr>
              <w:pStyle w:val="30"/>
              <w:spacing w:line="243" w:lineRule="exact"/>
              <w:ind w:right="78"/>
              <w:rPr>
                <w:rFonts w:hint="default" w:ascii="Times New Roman" w:hAnsi="Times New Roman" w:cs="Times New Roman"/>
                <w:sz w:val="20"/>
                <w:szCs w:val="20"/>
              </w:rPr>
            </w:pPr>
            <w:r>
              <w:rPr>
                <w:rFonts w:hint="default" w:ascii="Times New Roman" w:hAnsi="Times New Roman" w:cs="Times New Roman"/>
                <w:sz w:val="20"/>
                <w:szCs w:val="20"/>
              </w:rPr>
              <w:t>①建设项目竣工后，建设单位应当如实查验、监测、记载建设项目环境保护设施的建设和调试情况，一般在3个月内（最长不超过12个月）逐一检查是否存在验收不合格的情形，达到验收条件参照《建设项目竣工环境保护验收技术指南污染影响类》编制验收监测报告。</w:t>
            </w:r>
          </w:p>
          <w:p w14:paraId="6025B290">
            <w:pPr>
              <w:pStyle w:val="30"/>
              <w:spacing w:line="243" w:lineRule="exact"/>
              <w:ind w:right="78"/>
              <w:rPr>
                <w:rFonts w:hint="default" w:ascii="Times New Roman" w:hAnsi="Times New Roman" w:cs="Times New Roman"/>
                <w:sz w:val="20"/>
                <w:szCs w:val="20"/>
              </w:rPr>
            </w:pPr>
            <w:r>
              <w:rPr>
                <w:rFonts w:hint="default" w:ascii="Times New Roman" w:hAnsi="Times New Roman" w:cs="Times New Roman"/>
                <w:sz w:val="20"/>
                <w:szCs w:val="20"/>
              </w:rPr>
              <w:t>②需要对建设项目配套建设的环境保护设施进行调试的，建设单位在调试期间，应当对环境保护设施运行情况和建设项目对环境的影响进行监测。根据项目实际情况，委托监测单位对废气、废水及厂界噪声进行监测，同时对固体废物暂存及处理情况进行监测，做到污染物达标排放。</w:t>
            </w:r>
          </w:p>
          <w:p w14:paraId="65631AD5">
            <w:pPr>
              <w:pStyle w:val="30"/>
              <w:spacing w:line="243" w:lineRule="exact"/>
              <w:ind w:right="78"/>
              <w:rPr>
                <w:rFonts w:hint="default" w:ascii="Times New Roman" w:hAnsi="Times New Roman" w:cs="Times New Roman"/>
                <w:szCs w:val="21"/>
                <w:lang w:val="en-US"/>
              </w:rPr>
            </w:pPr>
            <w:r>
              <w:rPr>
                <w:rFonts w:hint="default" w:ascii="Times New Roman" w:hAnsi="Times New Roman" w:cs="Times New Roman"/>
                <w:sz w:val="20"/>
                <w:szCs w:val="20"/>
              </w:rPr>
              <w:t>③验收报告公示期满后 5 个工作日内，建设单位应当登录全国建设项目竣工环境保护验收信息平台，填报建设项目基本信息、环境保护设施验收情况等相关信息，环境保护主管部门对上述信息予以公开。</w:t>
            </w:r>
          </w:p>
        </w:tc>
      </w:tr>
    </w:tbl>
    <w:p w14:paraId="64A85F09">
      <w:pPr>
        <w:widowControl/>
        <w:jc w:val="center"/>
        <w:outlineLvl w:val="0"/>
        <w:rPr>
          <w:rFonts w:hint="eastAsia" w:ascii="黑体" w:hAnsi="黑体" w:eastAsia="黑体"/>
          <w:snapToGrid w:val="0"/>
          <w:sz w:val="30"/>
          <w:szCs w:val="30"/>
        </w:rPr>
      </w:pPr>
      <w:r>
        <w:rPr>
          <w:snapToGrid w:val="0"/>
        </w:rPr>
        <w:br w:type="page"/>
      </w:r>
      <w:bookmarkStart w:id="36" w:name="_Toc26793"/>
      <w:bookmarkStart w:id="37" w:name="_Toc7781"/>
      <w:r>
        <w:rPr>
          <w:rFonts w:hint="eastAsia" w:ascii="黑体" w:hAnsi="黑体" w:eastAsia="黑体"/>
          <w:snapToGrid w:val="0"/>
          <w:sz w:val="30"/>
          <w:szCs w:val="30"/>
        </w:rPr>
        <w:t>六、结论</w:t>
      </w:r>
      <w:bookmarkEnd w:id="36"/>
      <w:bookmarkEnd w:id="37"/>
    </w:p>
    <w:tbl>
      <w:tblPr>
        <w:tblStyle w:val="13"/>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0678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865" w:type="dxa"/>
            <w:vAlign w:val="center"/>
          </w:tcPr>
          <w:p w14:paraId="181AD75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选址基本合理，厂址与区域总体规划和环境规划基本相符，建成后有较高的经济效益；拟采用的各项污染防治措施基本合理、有效，水、气污染物、噪声均可实现达标排放，固废均得到合理处置，污染物的排放量可在企业内部及扬州市范围内得到平衡；各类污染物经治理后能稳定达标排放，通过预测，项目建成投产后周围环境功能不下降，项目主要环境风险防范及应急措施基本可行；环保投资可基本满足污染控制需要，能实现环境效益、经济效益和社会效益的统一；在企业做到污染物稳定达标排放的前提下，因此在扬州德沪智能装备有限公司年产600台套钙钛矿光伏智能装备研发及制造项目环境影响报告表的工程设计和建设中，在落实建设单位既定的污染防治措施和本报告表中提出的各项环境保护对策建议的前提下，从环保角度出发，本项目在拟建地建设可行。</w:t>
            </w:r>
          </w:p>
          <w:p w14:paraId="5A09D712">
            <w:pPr>
              <w:adjustRightInd w:val="0"/>
              <w:snapToGrid w:val="0"/>
              <w:spacing w:line="360" w:lineRule="auto"/>
              <w:ind w:firstLine="480" w:firstLineChars="200"/>
              <w:rPr>
                <w:rFonts w:hint="eastAsia" w:ascii="宋体" w:hAnsi="宋体" w:cs="宋体"/>
                <w:sz w:val="24"/>
              </w:rPr>
            </w:pPr>
          </w:p>
          <w:p w14:paraId="1A69C457">
            <w:pPr>
              <w:adjustRightInd w:val="0"/>
              <w:snapToGrid w:val="0"/>
              <w:spacing w:line="360" w:lineRule="auto"/>
              <w:ind w:firstLine="480" w:firstLineChars="200"/>
              <w:rPr>
                <w:rFonts w:hint="eastAsia" w:ascii="宋体" w:hAnsi="宋体" w:cs="宋体"/>
                <w:sz w:val="24"/>
              </w:rPr>
            </w:pPr>
          </w:p>
          <w:p w14:paraId="06DB1C16">
            <w:pPr>
              <w:adjustRightInd w:val="0"/>
              <w:snapToGrid w:val="0"/>
              <w:spacing w:line="360" w:lineRule="auto"/>
              <w:ind w:firstLine="480" w:firstLineChars="200"/>
              <w:rPr>
                <w:rFonts w:hint="eastAsia" w:ascii="宋体" w:hAnsi="宋体" w:cs="宋体"/>
                <w:sz w:val="24"/>
              </w:rPr>
            </w:pPr>
          </w:p>
          <w:p w14:paraId="635FB5C3">
            <w:pPr>
              <w:adjustRightInd w:val="0"/>
              <w:snapToGrid w:val="0"/>
              <w:spacing w:line="360" w:lineRule="auto"/>
              <w:ind w:firstLine="480" w:firstLineChars="200"/>
              <w:rPr>
                <w:rFonts w:hint="eastAsia" w:ascii="宋体" w:hAnsi="宋体" w:cs="宋体"/>
                <w:sz w:val="24"/>
              </w:rPr>
            </w:pPr>
          </w:p>
          <w:p w14:paraId="35E8A335">
            <w:pPr>
              <w:adjustRightInd w:val="0"/>
              <w:snapToGrid w:val="0"/>
              <w:spacing w:line="360" w:lineRule="auto"/>
              <w:ind w:firstLine="480" w:firstLineChars="200"/>
              <w:rPr>
                <w:rFonts w:hint="eastAsia" w:ascii="宋体" w:hAnsi="宋体" w:cs="宋体"/>
                <w:sz w:val="24"/>
              </w:rPr>
            </w:pPr>
          </w:p>
          <w:p w14:paraId="384A4212">
            <w:pPr>
              <w:adjustRightInd w:val="0"/>
              <w:snapToGrid w:val="0"/>
              <w:spacing w:line="360" w:lineRule="auto"/>
              <w:ind w:firstLine="480" w:firstLineChars="200"/>
              <w:rPr>
                <w:rFonts w:hint="eastAsia" w:ascii="宋体" w:hAnsi="宋体" w:cs="宋体"/>
                <w:sz w:val="24"/>
              </w:rPr>
            </w:pPr>
          </w:p>
          <w:p w14:paraId="7DE7053F">
            <w:pPr>
              <w:adjustRightInd w:val="0"/>
              <w:snapToGrid w:val="0"/>
              <w:spacing w:line="360" w:lineRule="auto"/>
              <w:ind w:firstLine="480" w:firstLineChars="200"/>
              <w:rPr>
                <w:rFonts w:hint="eastAsia" w:ascii="宋体" w:hAnsi="宋体" w:cs="宋体"/>
                <w:sz w:val="24"/>
              </w:rPr>
            </w:pPr>
          </w:p>
          <w:p w14:paraId="19DA5E83">
            <w:pPr>
              <w:adjustRightInd w:val="0"/>
              <w:snapToGrid w:val="0"/>
              <w:spacing w:line="360" w:lineRule="auto"/>
              <w:ind w:firstLine="480" w:firstLineChars="200"/>
              <w:rPr>
                <w:rFonts w:hint="eastAsia" w:ascii="宋体" w:hAnsi="宋体" w:cs="宋体"/>
                <w:sz w:val="24"/>
              </w:rPr>
            </w:pPr>
          </w:p>
          <w:p w14:paraId="5333E9DE">
            <w:pPr>
              <w:adjustRightInd w:val="0"/>
              <w:snapToGrid w:val="0"/>
              <w:spacing w:line="360" w:lineRule="auto"/>
              <w:ind w:firstLine="480" w:firstLineChars="200"/>
              <w:rPr>
                <w:rFonts w:hint="eastAsia" w:ascii="宋体" w:hAnsi="宋体" w:cs="宋体"/>
                <w:sz w:val="24"/>
              </w:rPr>
            </w:pPr>
          </w:p>
          <w:p w14:paraId="763D248A">
            <w:pPr>
              <w:adjustRightInd w:val="0"/>
              <w:snapToGrid w:val="0"/>
              <w:spacing w:line="360" w:lineRule="auto"/>
              <w:ind w:firstLine="480" w:firstLineChars="200"/>
              <w:rPr>
                <w:rFonts w:hint="eastAsia" w:ascii="宋体" w:hAnsi="宋体" w:cs="宋体"/>
                <w:sz w:val="24"/>
              </w:rPr>
            </w:pPr>
          </w:p>
          <w:p w14:paraId="21F756F2">
            <w:pPr>
              <w:adjustRightInd w:val="0"/>
              <w:snapToGrid w:val="0"/>
              <w:spacing w:line="360" w:lineRule="auto"/>
              <w:ind w:firstLine="480" w:firstLineChars="200"/>
              <w:rPr>
                <w:rFonts w:hint="eastAsia" w:ascii="宋体" w:hAnsi="宋体" w:cs="宋体"/>
                <w:sz w:val="24"/>
              </w:rPr>
            </w:pPr>
          </w:p>
          <w:p w14:paraId="220C994A">
            <w:pPr>
              <w:adjustRightInd w:val="0"/>
              <w:snapToGrid w:val="0"/>
              <w:spacing w:line="360" w:lineRule="auto"/>
              <w:ind w:firstLine="480" w:firstLineChars="200"/>
              <w:rPr>
                <w:rFonts w:hint="eastAsia" w:ascii="宋体" w:hAnsi="宋体" w:cs="宋体"/>
                <w:sz w:val="24"/>
              </w:rPr>
            </w:pPr>
          </w:p>
          <w:p w14:paraId="48FD7117">
            <w:pPr>
              <w:adjustRightInd w:val="0"/>
              <w:snapToGrid w:val="0"/>
              <w:spacing w:line="360" w:lineRule="auto"/>
              <w:ind w:firstLine="480" w:firstLineChars="200"/>
              <w:rPr>
                <w:rFonts w:hint="eastAsia" w:ascii="宋体" w:hAnsi="宋体" w:cs="宋体"/>
                <w:sz w:val="24"/>
              </w:rPr>
            </w:pPr>
          </w:p>
          <w:p w14:paraId="3F86774A">
            <w:pPr>
              <w:adjustRightInd w:val="0"/>
              <w:snapToGrid w:val="0"/>
              <w:spacing w:line="360" w:lineRule="auto"/>
              <w:ind w:firstLine="480" w:firstLineChars="200"/>
              <w:rPr>
                <w:rFonts w:hint="eastAsia" w:ascii="宋体" w:hAnsi="宋体" w:cs="宋体"/>
                <w:sz w:val="24"/>
              </w:rPr>
            </w:pPr>
          </w:p>
          <w:p w14:paraId="089C2ACA">
            <w:pPr>
              <w:adjustRightInd w:val="0"/>
              <w:snapToGrid w:val="0"/>
              <w:spacing w:line="360" w:lineRule="auto"/>
              <w:ind w:firstLine="480" w:firstLineChars="200"/>
              <w:rPr>
                <w:rFonts w:hint="eastAsia" w:ascii="宋体" w:hAnsi="宋体" w:cs="宋体"/>
                <w:sz w:val="24"/>
              </w:rPr>
            </w:pPr>
          </w:p>
          <w:p w14:paraId="7F543C52">
            <w:pPr>
              <w:adjustRightInd w:val="0"/>
              <w:snapToGrid w:val="0"/>
              <w:spacing w:line="360" w:lineRule="auto"/>
              <w:ind w:firstLine="480" w:firstLineChars="200"/>
              <w:rPr>
                <w:rFonts w:hint="eastAsia" w:ascii="宋体" w:hAnsi="宋体" w:cs="宋体"/>
                <w:sz w:val="24"/>
              </w:rPr>
            </w:pPr>
          </w:p>
          <w:p w14:paraId="20BF5CCE">
            <w:pPr>
              <w:spacing w:line="360" w:lineRule="auto"/>
              <w:ind w:firstLine="480" w:firstLineChars="200"/>
              <w:jc w:val="left"/>
              <w:rPr>
                <w:rFonts w:ascii="宋体" w:cs="宋体"/>
                <w:sz w:val="24"/>
              </w:rPr>
            </w:pPr>
          </w:p>
        </w:tc>
      </w:tr>
    </w:tbl>
    <w:p w14:paraId="4C007EDD">
      <w:pPr>
        <w:rPr>
          <w:rFonts w:ascii="宋体"/>
        </w:rPr>
        <w:sectPr>
          <w:pgSz w:w="11906" w:h="16838"/>
          <w:pgMar w:top="1701" w:right="1531" w:bottom="1701" w:left="1531" w:header="1361" w:footer="1417" w:gutter="0"/>
          <w:cols w:space="720" w:num="1"/>
          <w:docGrid w:linePitch="312" w:charSpace="0"/>
        </w:sectPr>
      </w:pPr>
    </w:p>
    <w:p w14:paraId="246230D7">
      <w:pPr>
        <w:widowControl/>
        <w:adjustRightInd w:val="0"/>
        <w:snapToGrid w:val="0"/>
        <w:outlineLvl w:val="0"/>
        <w:rPr>
          <w:rFonts w:hint="eastAsia" w:ascii="黑体" w:hAnsi="黑体" w:eastAsia="黑体"/>
          <w:snapToGrid w:val="0"/>
          <w:sz w:val="32"/>
          <w:szCs w:val="32"/>
        </w:rPr>
      </w:pPr>
      <w:bookmarkStart w:id="38" w:name="_Toc8382"/>
      <w:bookmarkStart w:id="39" w:name="_Toc26704"/>
      <w:r>
        <w:rPr>
          <w:rFonts w:hint="eastAsia" w:ascii="黑体" w:hAnsi="黑体" w:eastAsia="黑体"/>
          <w:snapToGrid w:val="0"/>
          <w:sz w:val="32"/>
          <w:szCs w:val="32"/>
        </w:rPr>
        <w:t>附表</w:t>
      </w:r>
      <w:bookmarkEnd w:id="38"/>
      <w:bookmarkEnd w:id="39"/>
    </w:p>
    <w:p w14:paraId="3A031BE7">
      <w:pPr>
        <w:widowControl/>
        <w:adjustRightInd w:val="0"/>
        <w:snapToGrid w:val="0"/>
        <w:jc w:val="center"/>
        <w:rPr>
          <w:rFonts w:hint="eastAsia" w:ascii="黑体" w:hAnsi="黑体" w:eastAsia="黑体" w:cs="黑体"/>
          <w:snapToGrid w:val="0"/>
          <w:sz w:val="38"/>
          <w:szCs w:val="38"/>
        </w:rPr>
      </w:pPr>
      <w:bookmarkStart w:id="40" w:name="_Toc12196"/>
      <w:bookmarkStart w:id="41" w:name="_Toc16015"/>
      <w:r>
        <w:rPr>
          <w:rFonts w:hint="eastAsia" w:ascii="黑体" w:hAnsi="黑体" w:eastAsia="黑体" w:cs="黑体"/>
          <w:snapToGrid w:val="0"/>
          <w:sz w:val="38"/>
          <w:szCs w:val="38"/>
        </w:rPr>
        <w:t>建设项目污染物排放量汇总表</w:t>
      </w:r>
      <w:bookmarkEnd w:id="40"/>
      <w:bookmarkEnd w:id="41"/>
    </w:p>
    <w:tbl>
      <w:tblPr>
        <w:tblStyle w:val="13"/>
        <w:tblW w:w="13788" w:type="dxa"/>
        <w:tblInd w:w="-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82"/>
        <w:gridCol w:w="1536"/>
        <w:gridCol w:w="1276"/>
        <w:gridCol w:w="1497"/>
        <w:gridCol w:w="1763"/>
        <w:gridCol w:w="1489"/>
        <w:gridCol w:w="1888"/>
        <w:gridCol w:w="1169"/>
      </w:tblGrid>
      <w:tr w14:paraId="79E1C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14:paraId="2106E0AB">
            <w:pPr>
              <w:pStyle w:val="20"/>
              <w:spacing w:beforeLines="0" w:afterLines="0"/>
              <w:rPr>
                <w:rFonts w:hint="eastAsia" w:ascii="黑体" w:hAnsi="黑体" w:eastAsia="黑体" w:cs="宋体"/>
                <w:snapToGrid w:val="0"/>
                <w:color w:val="000000"/>
                <w:spacing w:val="-6"/>
                <w:kern w:val="21"/>
                <w:sz w:val="18"/>
                <w:szCs w:val="18"/>
              </w:rPr>
            </w:pPr>
            <w:bookmarkStart w:id="42" w:name="_Toc10473"/>
            <w:bookmarkStart w:id="43" w:name="_Toc4304"/>
            <w:r>
              <w:rPr>
                <w:rFonts w:hint="eastAsia" w:ascii="黑体" w:hAnsi="黑体" w:eastAsia="黑体" w:cs="宋体"/>
                <w:snapToGrid w:val="0"/>
                <w:color w:val="000000"/>
                <w:spacing w:val="-6"/>
                <w:kern w:val="21"/>
                <w:sz w:val="18"/>
                <w:szCs w:val="18"/>
              </w:rPr>
              <w:t>项目</w:t>
            </w:r>
          </w:p>
          <w:p w14:paraId="430E1B69">
            <w:pPr>
              <w:pStyle w:val="20"/>
              <w:spacing w:beforeLines="0" w:afterLines="0"/>
              <w:rPr>
                <w:rFonts w:hint="eastAsia" w:ascii="黑体" w:hAnsi="黑体" w:eastAsia="黑体" w:cs="宋体"/>
                <w:snapToGrid w:val="0"/>
                <w:color w:val="000000"/>
                <w:spacing w:val="-6"/>
                <w:kern w:val="21"/>
                <w:sz w:val="18"/>
                <w:szCs w:val="18"/>
              </w:rPr>
            </w:pPr>
            <w:r>
              <w:rPr>
                <w:rFonts w:hint="eastAsia" w:ascii="黑体" w:hAnsi="黑体" w:eastAsia="黑体" w:cs="宋体"/>
                <w:snapToGrid w:val="0"/>
                <w:color w:val="000000"/>
                <w:spacing w:val="-6"/>
                <w:kern w:val="21"/>
                <w:sz w:val="18"/>
                <w:szCs w:val="18"/>
              </w:rPr>
              <w:t>分类</w:t>
            </w:r>
          </w:p>
        </w:tc>
        <w:tc>
          <w:tcPr>
            <w:tcW w:w="1582" w:type="dxa"/>
            <w:tcMar>
              <w:left w:w="28" w:type="dxa"/>
              <w:right w:w="28" w:type="dxa"/>
            </w:tcMar>
            <w:vAlign w:val="center"/>
          </w:tcPr>
          <w:p w14:paraId="404B43EE">
            <w:pPr>
              <w:pStyle w:val="20"/>
              <w:spacing w:beforeLines="0" w:afterLines="0"/>
              <w:rPr>
                <w:rFonts w:hint="eastAsia" w:ascii="黑体" w:hAnsi="黑体" w:eastAsia="黑体" w:cs="宋体"/>
                <w:snapToGrid w:val="0"/>
                <w:color w:val="000000"/>
                <w:spacing w:val="-6"/>
                <w:kern w:val="21"/>
                <w:sz w:val="18"/>
                <w:szCs w:val="18"/>
              </w:rPr>
            </w:pPr>
            <w:r>
              <w:rPr>
                <w:rFonts w:hint="eastAsia" w:ascii="黑体" w:hAnsi="黑体" w:eastAsia="黑体" w:cs="宋体"/>
                <w:snapToGrid w:val="0"/>
                <w:color w:val="000000"/>
                <w:spacing w:val="-6"/>
                <w:kern w:val="21"/>
                <w:sz w:val="18"/>
                <w:szCs w:val="18"/>
              </w:rPr>
              <w:t>污染物名称</w:t>
            </w:r>
          </w:p>
        </w:tc>
        <w:tc>
          <w:tcPr>
            <w:tcW w:w="1536" w:type="dxa"/>
            <w:tcMar>
              <w:left w:w="28" w:type="dxa"/>
              <w:right w:w="28" w:type="dxa"/>
            </w:tcMar>
            <w:vAlign w:val="center"/>
          </w:tcPr>
          <w:p w14:paraId="4AA93504">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现有工程</w:t>
            </w:r>
          </w:p>
          <w:p w14:paraId="5C3BF76E">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排放量（固</w:t>
            </w:r>
            <w:r>
              <w:rPr>
                <w:rFonts w:hint="eastAsia" w:ascii="黑体" w:hAnsi="黑体" w:eastAsia="黑体"/>
                <w:snapToGrid w:val="0"/>
                <w:color w:val="000000"/>
                <w:spacing w:val="-6"/>
                <w:kern w:val="21"/>
                <w:sz w:val="18"/>
                <w:szCs w:val="18"/>
              </w:rPr>
              <w:t>体</w:t>
            </w:r>
            <w:r>
              <w:rPr>
                <w:rFonts w:ascii="黑体" w:hAnsi="黑体" w:eastAsia="黑体"/>
                <w:snapToGrid w:val="0"/>
                <w:color w:val="000000"/>
                <w:spacing w:val="-6"/>
                <w:kern w:val="21"/>
                <w:sz w:val="18"/>
                <w:szCs w:val="18"/>
              </w:rPr>
              <w:t>废</w:t>
            </w:r>
            <w:r>
              <w:rPr>
                <w:rFonts w:hint="eastAsia" w:ascii="黑体" w:hAnsi="黑体" w:eastAsia="黑体"/>
                <w:snapToGrid w:val="0"/>
                <w:color w:val="000000"/>
                <w:spacing w:val="-6"/>
                <w:kern w:val="21"/>
                <w:sz w:val="18"/>
                <w:szCs w:val="18"/>
              </w:rPr>
              <w:t>物</w:t>
            </w:r>
            <w:r>
              <w:rPr>
                <w:rFonts w:ascii="黑体" w:hAnsi="黑体" w:eastAsia="黑体"/>
                <w:snapToGrid w:val="0"/>
                <w:color w:val="000000"/>
                <w:spacing w:val="-6"/>
                <w:kern w:val="21"/>
                <w:sz w:val="18"/>
                <w:szCs w:val="18"/>
              </w:rPr>
              <w:t>产生量）</w:t>
            </w:r>
            <w:r>
              <w:rPr>
                <w:rFonts w:ascii="黑体" w:hAnsi="黑体" w:eastAsia="黑体"/>
                <w:snapToGrid w:val="0"/>
                <w:color w:val="000000"/>
                <w:spacing w:val="-6"/>
                <w:kern w:val="21"/>
                <w:sz w:val="18"/>
                <w:szCs w:val="18"/>
              </w:rPr>
              <w:fldChar w:fldCharType="begin"/>
            </w:r>
            <w:r>
              <w:rPr>
                <w:rFonts w:ascii="黑体" w:hAnsi="黑体" w:eastAsia="黑体"/>
                <w:snapToGrid w:val="0"/>
                <w:color w:val="000000"/>
                <w:spacing w:val="-6"/>
                <w:kern w:val="21"/>
                <w:sz w:val="18"/>
                <w:szCs w:val="18"/>
              </w:rPr>
              <w:instrText xml:space="preserve"> = 1 \* GB3 \* MERGEFORMAT </w:instrText>
            </w:r>
            <w:r>
              <w:rPr>
                <w:rFonts w:ascii="黑体" w:hAnsi="黑体" w:eastAsia="黑体"/>
                <w:snapToGrid w:val="0"/>
                <w:color w:val="000000"/>
                <w:spacing w:val="-6"/>
                <w:kern w:val="21"/>
                <w:sz w:val="18"/>
                <w:szCs w:val="18"/>
              </w:rPr>
              <w:fldChar w:fldCharType="separate"/>
            </w:r>
            <w:r>
              <w:rPr>
                <w:rFonts w:hint="eastAsia" w:ascii="黑体" w:hAnsi="黑体" w:eastAsia="黑体" w:cs="宋体"/>
                <w:kern w:val="2"/>
                <w:sz w:val="18"/>
                <w:szCs w:val="18"/>
              </w:rPr>
              <w:t>①</w:t>
            </w:r>
            <w:r>
              <w:rPr>
                <w:rFonts w:ascii="黑体" w:hAnsi="黑体" w:eastAsia="黑体"/>
                <w:snapToGrid w:val="0"/>
                <w:color w:val="000000"/>
                <w:spacing w:val="-6"/>
                <w:kern w:val="21"/>
                <w:sz w:val="18"/>
                <w:szCs w:val="18"/>
              </w:rPr>
              <w:fldChar w:fldCharType="end"/>
            </w:r>
          </w:p>
        </w:tc>
        <w:tc>
          <w:tcPr>
            <w:tcW w:w="1276" w:type="dxa"/>
            <w:tcMar>
              <w:left w:w="28" w:type="dxa"/>
              <w:right w:w="28" w:type="dxa"/>
            </w:tcMar>
            <w:vAlign w:val="center"/>
          </w:tcPr>
          <w:p w14:paraId="00A96FB1">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现有工程</w:t>
            </w:r>
          </w:p>
          <w:p w14:paraId="6467AE66">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许可排放量</w:t>
            </w:r>
          </w:p>
          <w:p w14:paraId="64AA2096">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fldChar w:fldCharType="begin"/>
            </w:r>
            <w:r>
              <w:rPr>
                <w:rFonts w:ascii="黑体" w:hAnsi="黑体" w:eastAsia="黑体"/>
                <w:snapToGrid w:val="0"/>
                <w:color w:val="000000"/>
                <w:spacing w:val="-6"/>
                <w:kern w:val="21"/>
                <w:sz w:val="18"/>
                <w:szCs w:val="18"/>
              </w:rPr>
              <w:instrText xml:space="preserve"> = 2 \* GB3 \* MERGEFORMAT </w:instrText>
            </w:r>
            <w:r>
              <w:rPr>
                <w:rFonts w:ascii="黑体" w:hAnsi="黑体" w:eastAsia="黑体"/>
                <w:snapToGrid w:val="0"/>
                <w:color w:val="000000"/>
                <w:spacing w:val="-6"/>
                <w:kern w:val="21"/>
                <w:sz w:val="18"/>
                <w:szCs w:val="18"/>
              </w:rPr>
              <w:fldChar w:fldCharType="separate"/>
            </w:r>
            <w:r>
              <w:rPr>
                <w:rFonts w:hint="eastAsia" w:ascii="黑体" w:hAnsi="黑体" w:eastAsia="黑体" w:cs="宋体"/>
                <w:snapToGrid w:val="0"/>
                <w:color w:val="000000"/>
                <w:spacing w:val="-6"/>
                <w:kern w:val="21"/>
                <w:sz w:val="18"/>
                <w:szCs w:val="18"/>
              </w:rPr>
              <w:t>②</w:t>
            </w:r>
            <w:r>
              <w:rPr>
                <w:rFonts w:ascii="黑体" w:hAnsi="黑体" w:eastAsia="黑体"/>
                <w:snapToGrid w:val="0"/>
                <w:color w:val="000000"/>
                <w:spacing w:val="-6"/>
                <w:kern w:val="21"/>
                <w:sz w:val="18"/>
                <w:szCs w:val="18"/>
              </w:rPr>
              <w:fldChar w:fldCharType="end"/>
            </w:r>
          </w:p>
        </w:tc>
        <w:tc>
          <w:tcPr>
            <w:tcW w:w="1497" w:type="dxa"/>
            <w:tcMar>
              <w:left w:w="28" w:type="dxa"/>
              <w:right w:w="28" w:type="dxa"/>
            </w:tcMar>
            <w:vAlign w:val="center"/>
          </w:tcPr>
          <w:p w14:paraId="012D8FC2">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在建工程</w:t>
            </w:r>
          </w:p>
          <w:p w14:paraId="51A31D88">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排放量（固</w:t>
            </w:r>
            <w:r>
              <w:rPr>
                <w:rFonts w:hint="eastAsia" w:ascii="黑体" w:hAnsi="黑体" w:eastAsia="黑体"/>
                <w:snapToGrid w:val="0"/>
                <w:color w:val="000000"/>
                <w:spacing w:val="-6"/>
                <w:kern w:val="21"/>
                <w:sz w:val="18"/>
                <w:szCs w:val="18"/>
              </w:rPr>
              <w:t>体</w:t>
            </w:r>
            <w:r>
              <w:rPr>
                <w:rFonts w:ascii="黑体" w:hAnsi="黑体" w:eastAsia="黑体"/>
                <w:snapToGrid w:val="0"/>
                <w:color w:val="000000"/>
                <w:spacing w:val="-6"/>
                <w:kern w:val="21"/>
                <w:sz w:val="18"/>
                <w:szCs w:val="18"/>
              </w:rPr>
              <w:t>废</w:t>
            </w:r>
            <w:r>
              <w:rPr>
                <w:rFonts w:hint="eastAsia" w:ascii="黑体" w:hAnsi="黑体" w:eastAsia="黑体"/>
                <w:snapToGrid w:val="0"/>
                <w:color w:val="000000"/>
                <w:spacing w:val="-6"/>
                <w:kern w:val="21"/>
                <w:sz w:val="18"/>
                <w:szCs w:val="18"/>
              </w:rPr>
              <w:t>物</w:t>
            </w:r>
            <w:r>
              <w:rPr>
                <w:rFonts w:ascii="黑体" w:hAnsi="黑体" w:eastAsia="黑体"/>
                <w:snapToGrid w:val="0"/>
                <w:color w:val="000000"/>
                <w:spacing w:val="-6"/>
                <w:kern w:val="21"/>
                <w:sz w:val="18"/>
                <w:szCs w:val="18"/>
              </w:rPr>
              <w:t>产生量）</w:t>
            </w:r>
            <w:r>
              <w:rPr>
                <w:rFonts w:ascii="黑体" w:hAnsi="黑体" w:eastAsia="黑体"/>
                <w:snapToGrid w:val="0"/>
                <w:color w:val="000000"/>
                <w:spacing w:val="-6"/>
                <w:kern w:val="21"/>
                <w:sz w:val="18"/>
                <w:szCs w:val="18"/>
              </w:rPr>
              <w:fldChar w:fldCharType="begin"/>
            </w:r>
            <w:r>
              <w:rPr>
                <w:rFonts w:ascii="黑体" w:hAnsi="黑体" w:eastAsia="黑体"/>
                <w:snapToGrid w:val="0"/>
                <w:color w:val="000000"/>
                <w:spacing w:val="-6"/>
                <w:kern w:val="21"/>
                <w:sz w:val="18"/>
                <w:szCs w:val="18"/>
              </w:rPr>
              <w:instrText xml:space="preserve"> = 3 \* GB3 \* MERGEFORMAT </w:instrText>
            </w:r>
            <w:r>
              <w:rPr>
                <w:rFonts w:ascii="黑体" w:hAnsi="黑体" w:eastAsia="黑体"/>
                <w:snapToGrid w:val="0"/>
                <w:color w:val="000000"/>
                <w:spacing w:val="-6"/>
                <w:kern w:val="21"/>
                <w:sz w:val="18"/>
                <w:szCs w:val="18"/>
              </w:rPr>
              <w:fldChar w:fldCharType="separate"/>
            </w:r>
            <w:r>
              <w:rPr>
                <w:rFonts w:hint="eastAsia" w:ascii="黑体" w:hAnsi="黑体" w:eastAsia="黑体" w:cs="宋体"/>
                <w:kern w:val="2"/>
                <w:sz w:val="18"/>
                <w:szCs w:val="18"/>
              </w:rPr>
              <w:t>③</w:t>
            </w:r>
            <w:r>
              <w:rPr>
                <w:rFonts w:ascii="黑体" w:hAnsi="黑体" w:eastAsia="黑体"/>
                <w:snapToGrid w:val="0"/>
                <w:color w:val="000000"/>
                <w:spacing w:val="-6"/>
                <w:kern w:val="21"/>
                <w:sz w:val="18"/>
                <w:szCs w:val="18"/>
              </w:rPr>
              <w:fldChar w:fldCharType="end"/>
            </w:r>
          </w:p>
        </w:tc>
        <w:tc>
          <w:tcPr>
            <w:tcW w:w="1763" w:type="dxa"/>
            <w:tcMar>
              <w:left w:w="28" w:type="dxa"/>
              <w:right w:w="28" w:type="dxa"/>
            </w:tcMar>
            <w:vAlign w:val="center"/>
          </w:tcPr>
          <w:p w14:paraId="3E7FE1B3">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本项目</w:t>
            </w:r>
          </w:p>
          <w:p w14:paraId="365ADDC1">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排放量（固</w:t>
            </w:r>
            <w:r>
              <w:rPr>
                <w:rFonts w:hint="eastAsia" w:ascii="黑体" w:hAnsi="黑体" w:eastAsia="黑体"/>
                <w:snapToGrid w:val="0"/>
                <w:color w:val="000000"/>
                <w:spacing w:val="-6"/>
                <w:kern w:val="21"/>
                <w:sz w:val="18"/>
                <w:szCs w:val="18"/>
              </w:rPr>
              <w:t>体</w:t>
            </w:r>
            <w:r>
              <w:rPr>
                <w:rFonts w:ascii="黑体" w:hAnsi="黑体" w:eastAsia="黑体"/>
                <w:snapToGrid w:val="0"/>
                <w:color w:val="000000"/>
                <w:spacing w:val="-6"/>
                <w:kern w:val="21"/>
                <w:sz w:val="18"/>
                <w:szCs w:val="18"/>
              </w:rPr>
              <w:t>废</w:t>
            </w:r>
            <w:r>
              <w:rPr>
                <w:rFonts w:hint="eastAsia" w:ascii="黑体" w:hAnsi="黑体" w:eastAsia="黑体"/>
                <w:snapToGrid w:val="0"/>
                <w:color w:val="000000"/>
                <w:spacing w:val="-6"/>
                <w:kern w:val="21"/>
                <w:sz w:val="18"/>
                <w:szCs w:val="18"/>
              </w:rPr>
              <w:t>物</w:t>
            </w:r>
            <w:r>
              <w:rPr>
                <w:rFonts w:ascii="黑体" w:hAnsi="黑体" w:eastAsia="黑体"/>
                <w:snapToGrid w:val="0"/>
                <w:color w:val="000000"/>
                <w:spacing w:val="-6"/>
                <w:kern w:val="21"/>
                <w:sz w:val="18"/>
                <w:szCs w:val="18"/>
              </w:rPr>
              <w:t>产生量）</w:t>
            </w:r>
            <w:r>
              <w:rPr>
                <w:rFonts w:ascii="黑体" w:hAnsi="黑体" w:eastAsia="黑体"/>
                <w:snapToGrid w:val="0"/>
                <w:color w:val="000000"/>
                <w:spacing w:val="-6"/>
                <w:kern w:val="21"/>
                <w:sz w:val="18"/>
                <w:szCs w:val="18"/>
              </w:rPr>
              <w:fldChar w:fldCharType="begin"/>
            </w:r>
            <w:r>
              <w:rPr>
                <w:rFonts w:ascii="黑体" w:hAnsi="黑体" w:eastAsia="黑体"/>
                <w:snapToGrid w:val="0"/>
                <w:color w:val="000000"/>
                <w:spacing w:val="-6"/>
                <w:kern w:val="21"/>
                <w:sz w:val="18"/>
                <w:szCs w:val="18"/>
              </w:rPr>
              <w:instrText xml:space="preserve"> = 4 \* GB3 \* MERGEFORMAT </w:instrText>
            </w:r>
            <w:r>
              <w:rPr>
                <w:rFonts w:ascii="黑体" w:hAnsi="黑体" w:eastAsia="黑体"/>
                <w:snapToGrid w:val="0"/>
                <w:color w:val="000000"/>
                <w:spacing w:val="-6"/>
                <w:kern w:val="21"/>
                <w:sz w:val="18"/>
                <w:szCs w:val="18"/>
              </w:rPr>
              <w:fldChar w:fldCharType="separate"/>
            </w:r>
            <w:r>
              <w:rPr>
                <w:rFonts w:hint="eastAsia" w:ascii="黑体" w:hAnsi="黑体" w:eastAsia="黑体" w:cs="宋体"/>
                <w:kern w:val="2"/>
                <w:sz w:val="18"/>
                <w:szCs w:val="18"/>
              </w:rPr>
              <w:t>④</w:t>
            </w:r>
            <w:r>
              <w:rPr>
                <w:rFonts w:ascii="黑体" w:hAnsi="黑体" w:eastAsia="黑体"/>
                <w:snapToGrid w:val="0"/>
                <w:color w:val="000000"/>
                <w:spacing w:val="-6"/>
                <w:kern w:val="21"/>
                <w:sz w:val="18"/>
                <w:szCs w:val="18"/>
              </w:rPr>
              <w:fldChar w:fldCharType="end"/>
            </w:r>
          </w:p>
        </w:tc>
        <w:tc>
          <w:tcPr>
            <w:tcW w:w="1489" w:type="dxa"/>
            <w:tcMar>
              <w:left w:w="28" w:type="dxa"/>
              <w:right w:w="28" w:type="dxa"/>
            </w:tcMar>
            <w:vAlign w:val="center"/>
          </w:tcPr>
          <w:p w14:paraId="32FEAD91">
            <w:pPr>
              <w:pStyle w:val="20"/>
              <w:spacing w:beforeLines="0" w:afterLines="0"/>
              <w:rPr>
                <w:rFonts w:hint="eastAsia" w:ascii="黑体" w:hAnsi="黑体" w:eastAsia="黑体"/>
                <w:snapToGrid w:val="0"/>
                <w:color w:val="000000"/>
                <w:spacing w:val="-16"/>
                <w:kern w:val="21"/>
                <w:sz w:val="18"/>
                <w:szCs w:val="18"/>
              </w:rPr>
            </w:pPr>
            <w:r>
              <w:rPr>
                <w:rFonts w:ascii="黑体" w:hAnsi="黑体" w:eastAsia="黑体"/>
                <w:snapToGrid w:val="0"/>
                <w:color w:val="000000"/>
                <w:spacing w:val="-16"/>
                <w:kern w:val="21"/>
                <w:sz w:val="18"/>
                <w:szCs w:val="18"/>
              </w:rPr>
              <w:t>以新带老削减量</w:t>
            </w:r>
          </w:p>
          <w:p w14:paraId="68F8C1DE">
            <w:pPr>
              <w:pStyle w:val="20"/>
              <w:spacing w:beforeLines="0" w:afterLines="0"/>
              <w:rPr>
                <w:rFonts w:hint="eastAsia" w:ascii="黑体" w:hAnsi="黑体" w:eastAsia="黑体"/>
                <w:snapToGrid w:val="0"/>
                <w:color w:val="000000"/>
                <w:spacing w:val="-16"/>
                <w:kern w:val="21"/>
                <w:sz w:val="18"/>
                <w:szCs w:val="18"/>
              </w:rPr>
            </w:pPr>
            <w:r>
              <w:rPr>
                <w:rFonts w:ascii="黑体" w:hAnsi="黑体" w:eastAsia="黑体"/>
                <w:snapToGrid w:val="0"/>
                <w:color w:val="000000"/>
                <w:spacing w:val="-16"/>
                <w:kern w:val="21"/>
                <w:sz w:val="18"/>
                <w:szCs w:val="18"/>
              </w:rPr>
              <w:t>（新建项目不填）</w:t>
            </w:r>
            <w:r>
              <w:rPr>
                <w:rFonts w:ascii="黑体" w:hAnsi="黑体" w:eastAsia="黑体"/>
                <w:snapToGrid w:val="0"/>
                <w:color w:val="000000"/>
                <w:spacing w:val="-16"/>
                <w:kern w:val="21"/>
                <w:sz w:val="18"/>
                <w:szCs w:val="18"/>
              </w:rPr>
              <w:fldChar w:fldCharType="begin"/>
            </w:r>
            <w:r>
              <w:rPr>
                <w:rFonts w:ascii="黑体" w:hAnsi="黑体" w:eastAsia="黑体"/>
                <w:snapToGrid w:val="0"/>
                <w:color w:val="000000"/>
                <w:spacing w:val="-16"/>
                <w:kern w:val="21"/>
                <w:sz w:val="18"/>
                <w:szCs w:val="18"/>
              </w:rPr>
              <w:instrText xml:space="preserve"> = 5 \* GB3 \* MERGEFORMAT </w:instrText>
            </w:r>
            <w:r>
              <w:rPr>
                <w:rFonts w:ascii="黑体" w:hAnsi="黑体" w:eastAsia="黑体"/>
                <w:snapToGrid w:val="0"/>
                <w:color w:val="000000"/>
                <w:spacing w:val="-16"/>
                <w:kern w:val="21"/>
                <w:sz w:val="18"/>
                <w:szCs w:val="18"/>
              </w:rPr>
              <w:fldChar w:fldCharType="separate"/>
            </w:r>
            <w:r>
              <w:rPr>
                <w:rFonts w:hint="eastAsia" w:ascii="黑体" w:hAnsi="黑体" w:eastAsia="黑体" w:cs="宋体"/>
                <w:kern w:val="2"/>
                <w:sz w:val="18"/>
                <w:szCs w:val="18"/>
              </w:rPr>
              <w:t>⑤</w:t>
            </w:r>
            <w:r>
              <w:rPr>
                <w:rFonts w:ascii="黑体" w:hAnsi="黑体" w:eastAsia="黑体"/>
                <w:snapToGrid w:val="0"/>
                <w:color w:val="000000"/>
                <w:spacing w:val="-16"/>
                <w:kern w:val="21"/>
                <w:sz w:val="18"/>
                <w:szCs w:val="18"/>
              </w:rPr>
              <w:fldChar w:fldCharType="end"/>
            </w:r>
          </w:p>
        </w:tc>
        <w:tc>
          <w:tcPr>
            <w:tcW w:w="1888" w:type="dxa"/>
            <w:tcMar>
              <w:left w:w="28" w:type="dxa"/>
              <w:right w:w="28" w:type="dxa"/>
            </w:tcMar>
            <w:vAlign w:val="center"/>
          </w:tcPr>
          <w:p w14:paraId="00F57AD8">
            <w:pPr>
              <w:pStyle w:val="20"/>
              <w:spacing w:beforeLines="0" w:afterLines="0"/>
              <w:rPr>
                <w:rFonts w:hint="eastAsia" w:ascii="黑体" w:hAnsi="黑体" w:eastAsia="黑体"/>
                <w:snapToGrid w:val="0"/>
                <w:color w:val="000000"/>
                <w:spacing w:val="-16"/>
                <w:kern w:val="21"/>
                <w:sz w:val="18"/>
                <w:szCs w:val="18"/>
              </w:rPr>
            </w:pPr>
            <w:r>
              <w:rPr>
                <w:rFonts w:ascii="黑体" w:hAnsi="黑体" w:eastAsia="黑体"/>
                <w:snapToGrid w:val="0"/>
                <w:color w:val="000000"/>
                <w:spacing w:val="-16"/>
                <w:kern w:val="21"/>
                <w:sz w:val="18"/>
                <w:szCs w:val="18"/>
              </w:rPr>
              <w:t>本项目建成后</w:t>
            </w:r>
          </w:p>
          <w:p w14:paraId="0543342E">
            <w:pPr>
              <w:pStyle w:val="20"/>
              <w:spacing w:beforeLines="0" w:afterLines="0"/>
              <w:rPr>
                <w:rFonts w:hint="eastAsia" w:ascii="黑体" w:hAnsi="黑体" w:eastAsia="黑体"/>
                <w:snapToGrid w:val="0"/>
                <w:color w:val="000000"/>
                <w:spacing w:val="-16"/>
                <w:kern w:val="21"/>
                <w:sz w:val="18"/>
                <w:szCs w:val="18"/>
              </w:rPr>
            </w:pPr>
            <w:r>
              <w:rPr>
                <w:rFonts w:hint="eastAsia" w:ascii="黑体" w:hAnsi="黑体" w:eastAsia="黑体"/>
                <w:snapToGrid w:val="0"/>
                <w:color w:val="000000"/>
                <w:spacing w:val="-16"/>
                <w:kern w:val="21"/>
                <w:sz w:val="18"/>
                <w:szCs w:val="18"/>
              </w:rPr>
              <w:t>全厂</w:t>
            </w:r>
            <w:r>
              <w:rPr>
                <w:rFonts w:ascii="黑体" w:hAnsi="黑体" w:eastAsia="黑体"/>
                <w:snapToGrid w:val="0"/>
                <w:color w:val="000000"/>
                <w:spacing w:val="-16"/>
                <w:kern w:val="21"/>
                <w:sz w:val="18"/>
                <w:szCs w:val="18"/>
              </w:rPr>
              <w:t>排放量（固</w:t>
            </w:r>
            <w:r>
              <w:rPr>
                <w:rFonts w:hint="eastAsia" w:ascii="黑体" w:hAnsi="黑体" w:eastAsia="黑体"/>
                <w:snapToGrid w:val="0"/>
                <w:color w:val="000000"/>
                <w:spacing w:val="-16"/>
                <w:kern w:val="21"/>
                <w:sz w:val="18"/>
                <w:szCs w:val="18"/>
              </w:rPr>
              <w:t>体</w:t>
            </w:r>
            <w:r>
              <w:rPr>
                <w:rFonts w:ascii="黑体" w:hAnsi="黑体" w:eastAsia="黑体"/>
                <w:snapToGrid w:val="0"/>
                <w:color w:val="000000"/>
                <w:spacing w:val="-16"/>
                <w:kern w:val="21"/>
                <w:sz w:val="18"/>
                <w:szCs w:val="18"/>
              </w:rPr>
              <w:t>废</w:t>
            </w:r>
            <w:r>
              <w:rPr>
                <w:rFonts w:hint="eastAsia" w:ascii="黑体" w:hAnsi="黑体" w:eastAsia="黑体"/>
                <w:snapToGrid w:val="0"/>
                <w:color w:val="000000"/>
                <w:spacing w:val="-16"/>
                <w:kern w:val="21"/>
                <w:sz w:val="18"/>
                <w:szCs w:val="18"/>
              </w:rPr>
              <w:t>物</w:t>
            </w:r>
            <w:r>
              <w:rPr>
                <w:rFonts w:ascii="黑体" w:hAnsi="黑体" w:eastAsia="黑体"/>
                <w:snapToGrid w:val="0"/>
                <w:color w:val="000000"/>
                <w:spacing w:val="-16"/>
                <w:kern w:val="21"/>
                <w:sz w:val="18"/>
                <w:szCs w:val="18"/>
              </w:rPr>
              <w:t>产生量）</w:t>
            </w:r>
            <w:r>
              <w:rPr>
                <w:rFonts w:ascii="黑体" w:hAnsi="黑体" w:eastAsia="黑体"/>
                <w:snapToGrid w:val="0"/>
                <w:color w:val="000000"/>
                <w:spacing w:val="-16"/>
                <w:kern w:val="21"/>
                <w:sz w:val="18"/>
                <w:szCs w:val="18"/>
              </w:rPr>
              <w:fldChar w:fldCharType="begin"/>
            </w:r>
            <w:r>
              <w:rPr>
                <w:rFonts w:ascii="黑体" w:hAnsi="黑体" w:eastAsia="黑体"/>
                <w:snapToGrid w:val="0"/>
                <w:color w:val="000000"/>
                <w:spacing w:val="-16"/>
                <w:kern w:val="21"/>
                <w:sz w:val="18"/>
                <w:szCs w:val="18"/>
              </w:rPr>
              <w:instrText xml:space="preserve"> = 6 \* GB3 \* MERGEFORMAT </w:instrText>
            </w:r>
            <w:r>
              <w:rPr>
                <w:rFonts w:ascii="黑体" w:hAnsi="黑体" w:eastAsia="黑体"/>
                <w:snapToGrid w:val="0"/>
                <w:color w:val="000000"/>
                <w:spacing w:val="-16"/>
                <w:kern w:val="21"/>
                <w:sz w:val="18"/>
                <w:szCs w:val="18"/>
              </w:rPr>
              <w:fldChar w:fldCharType="separate"/>
            </w:r>
            <w:r>
              <w:rPr>
                <w:rFonts w:hint="eastAsia" w:ascii="黑体" w:hAnsi="黑体" w:eastAsia="黑体" w:cs="宋体"/>
                <w:kern w:val="2"/>
                <w:sz w:val="18"/>
                <w:szCs w:val="18"/>
              </w:rPr>
              <w:t>⑥</w:t>
            </w:r>
            <w:r>
              <w:rPr>
                <w:rFonts w:ascii="黑体" w:hAnsi="黑体" w:eastAsia="黑体"/>
                <w:snapToGrid w:val="0"/>
                <w:color w:val="000000"/>
                <w:spacing w:val="-16"/>
                <w:kern w:val="21"/>
                <w:sz w:val="18"/>
                <w:szCs w:val="18"/>
              </w:rPr>
              <w:fldChar w:fldCharType="end"/>
            </w:r>
          </w:p>
        </w:tc>
        <w:tc>
          <w:tcPr>
            <w:tcW w:w="1169" w:type="dxa"/>
            <w:tcMar>
              <w:left w:w="28" w:type="dxa"/>
              <w:right w:w="28" w:type="dxa"/>
            </w:tcMar>
            <w:vAlign w:val="center"/>
          </w:tcPr>
          <w:p w14:paraId="7FBC8671">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t>变化量</w:t>
            </w:r>
          </w:p>
          <w:p w14:paraId="17868722">
            <w:pPr>
              <w:pStyle w:val="20"/>
              <w:spacing w:beforeLines="0" w:afterLines="0"/>
              <w:rPr>
                <w:rFonts w:hint="eastAsia" w:ascii="黑体" w:hAnsi="黑体" w:eastAsia="黑体"/>
                <w:snapToGrid w:val="0"/>
                <w:color w:val="000000"/>
                <w:spacing w:val="-6"/>
                <w:kern w:val="21"/>
                <w:sz w:val="18"/>
                <w:szCs w:val="18"/>
              </w:rPr>
            </w:pPr>
            <w:r>
              <w:rPr>
                <w:rFonts w:ascii="黑体" w:hAnsi="黑体" w:eastAsia="黑体"/>
                <w:snapToGrid w:val="0"/>
                <w:color w:val="000000"/>
                <w:spacing w:val="-6"/>
                <w:kern w:val="21"/>
                <w:sz w:val="18"/>
                <w:szCs w:val="18"/>
              </w:rPr>
              <w:fldChar w:fldCharType="begin"/>
            </w:r>
            <w:r>
              <w:rPr>
                <w:rFonts w:ascii="黑体" w:hAnsi="黑体" w:eastAsia="黑体"/>
                <w:snapToGrid w:val="0"/>
                <w:color w:val="000000"/>
                <w:spacing w:val="-6"/>
                <w:kern w:val="21"/>
                <w:sz w:val="18"/>
                <w:szCs w:val="18"/>
              </w:rPr>
              <w:instrText xml:space="preserve"> = 7 \* GB3 \* MERGEFORMAT </w:instrText>
            </w:r>
            <w:r>
              <w:rPr>
                <w:rFonts w:ascii="黑体" w:hAnsi="黑体" w:eastAsia="黑体"/>
                <w:snapToGrid w:val="0"/>
                <w:color w:val="000000"/>
                <w:spacing w:val="-6"/>
                <w:kern w:val="21"/>
                <w:sz w:val="18"/>
                <w:szCs w:val="18"/>
              </w:rPr>
              <w:fldChar w:fldCharType="separate"/>
            </w:r>
            <w:r>
              <w:rPr>
                <w:rFonts w:hint="eastAsia" w:ascii="黑体" w:hAnsi="黑体" w:eastAsia="黑体" w:cs="宋体"/>
                <w:kern w:val="2"/>
                <w:sz w:val="18"/>
                <w:szCs w:val="18"/>
              </w:rPr>
              <w:t>⑦</w:t>
            </w:r>
            <w:r>
              <w:rPr>
                <w:rFonts w:ascii="黑体" w:hAnsi="黑体" w:eastAsia="黑体"/>
                <w:snapToGrid w:val="0"/>
                <w:color w:val="000000"/>
                <w:spacing w:val="-6"/>
                <w:kern w:val="21"/>
                <w:sz w:val="18"/>
                <w:szCs w:val="18"/>
              </w:rPr>
              <w:fldChar w:fldCharType="end"/>
            </w:r>
          </w:p>
        </w:tc>
      </w:tr>
      <w:tr w14:paraId="25166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14:paraId="57C5492F">
            <w:pPr>
              <w:pStyle w:val="20"/>
              <w:spacing w:beforeLines="0" w:afterLines="0"/>
              <w:rPr>
                <w:rFonts w:hint="eastAsia" w:hAnsi="宋体" w:cs="宋体"/>
                <w:snapToGrid w:val="0"/>
                <w:color w:val="000000"/>
                <w:kern w:val="21"/>
                <w:sz w:val="18"/>
                <w:szCs w:val="18"/>
              </w:rPr>
            </w:pPr>
            <w:r>
              <w:rPr>
                <w:rFonts w:hint="eastAsia" w:hAnsi="宋体" w:cs="宋体"/>
                <w:snapToGrid w:val="0"/>
                <w:color w:val="000000"/>
                <w:kern w:val="21"/>
                <w:sz w:val="18"/>
                <w:szCs w:val="18"/>
              </w:rPr>
              <w:t>废气</w:t>
            </w:r>
          </w:p>
        </w:tc>
        <w:tc>
          <w:tcPr>
            <w:tcW w:w="1582" w:type="dxa"/>
            <w:vAlign w:val="center"/>
          </w:tcPr>
          <w:p w14:paraId="5C690050">
            <w:pPr>
              <w:pStyle w:val="20"/>
              <w:spacing w:beforeLines="0" w:afterLines="0"/>
              <w:rPr>
                <w:rFonts w:hint="eastAsia" w:hAnsi="宋体" w:cs="宋体"/>
                <w:snapToGrid w:val="0"/>
                <w:color w:val="000000"/>
                <w:kern w:val="21"/>
                <w:sz w:val="18"/>
                <w:szCs w:val="18"/>
              </w:rPr>
            </w:pPr>
            <w:r>
              <w:rPr>
                <w:rFonts w:hint="eastAsia" w:hAnsi="宋体" w:cs="宋体"/>
                <w:snapToGrid w:val="0"/>
                <w:color w:val="000000"/>
                <w:kern w:val="21"/>
                <w:sz w:val="18"/>
                <w:szCs w:val="18"/>
              </w:rPr>
              <w:t>非甲烷总烃</w:t>
            </w:r>
          </w:p>
        </w:tc>
        <w:tc>
          <w:tcPr>
            <w:tcW w:w="1536" w:type="dxa"/>
            <w:vAlign w:val="center"/>
          </w:tcPr>
          <w:p w14:paraId="5478E2A1">
            <w:pPr>
              <w:jc w:val="center"/>
              <w:rPr>
                <w:sz w:val="18"/>
                <w:szCs w:val="18"/>
              </w:rPr>
            </w:pPr>
            <w:r>
              <w:rPr>
                <w:rFonts w:hint="eastAsia"/>
                <w:sz w:val="18"/>
                <w:szCs w:val="18"/>
              </w:rPr>
              <w:t>0</w:t>
            </w:r>
          </w:p>
        </w:tc>
        <w:tc>
          <w:tcPr>
            <w:tcW w:w="1276" w:type="dxa"/>
            <w:vAlign w:val="center"/>
          </w:tcPr>
          <w:p w14:paraId="0A2F436F">
            <w:pPr>
              <w:jc w:val="center"/>
              <w:rPr>
                <w:sz w:val="18"/>
                <w:szCs w:val="18"/>
              </w:rPr>
            </w:pPr>
            <w:r>
              <w:rPr>
                <w:rFonts w:hint="eastAsia"/>
                <w:sz w:val="18"/>
                <w:szCs w:val="18"/>
              </w:rPr>
              <w:t>/</w:t>
            </w:r>
          </w:p>
        </w:tc>
        <w:tc>
          <w:tcPr>
            <w:tcW w:w="1497" w:type="dxa"/>
            <w:vAlign w:val="center"/>
          </w:tcPr>
          <w:p w14:paraId="411D83FD">
            <w:pPr>
              <w:jc w:val="center"/>
              <w:rPr>
                <w:sz w:val="18"/>
                <w:szCs w:val="18"/>
              </w:rPr>
            </w:pPr>
            <w:r>
              <w:rPr>
                <w:rFonts w:hint="eastAsia"/>
                <w:sz w:val="18"/>
                <w:szCs w:val="18"/>
              </w:rPr>
              <w:t>/</w:t>
            </w:r>
          </w:p>
        </w:tc>
        <w:tc>
          <w:tcPr>
            <w:tcW w:w="1763" w:type="dxa"/>
            <w:vAlign w:val="center"/>
          </w:tcPr>
          <w:p w14:paraId="7A9EB62F">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2ED1288B">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0D44A987">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5FCC75E6">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07388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7D6D5ECD">
            <w:pPr>
              <w:pStyle w:val="20"/>
              <w:spacing w:beforeLines="0" w:afterLines="0"/>
              <w:rPr>
                <w:rFonts w:hint="eastAsia" w:hAnsi="宋体" w:cs="宋体"/>
                <w:snapToGrid w:val="0"/>
                <w:color w:val="000000"/>
                <w:kern w:val="21"/>
                <w:sz w:val="18"/>
                <w:szCs w:val="18"/>
              </w:rPr>
            </w:pPr>
            <w:r>
              <w:rPr>
                <w:rFonts w:hint="eastAsia" w:hAnsi="宋体" w:cs="宋体"/>
                <w:snapToGrid w:val="0"/>
                <w:color w:val="000000"/>
                <w:kern w:val="21"/>
                <w:sz w:val="18"/>
                <w:szCs w:val="18"/>
              </w:rPr>
              <w:t>废水</w:t>
            </w:r>
          </w:p>
        </w:tc>
        <w:tc>
          <w:tcPr>
            <w:tcW w:w="1582" w:type="dxa"/>
            <w:vAlign w:val="center"/>
          </w:tcPr>
          <w:p w14:paraId="50E3D0B6">
            <w:pPr>
              <w:pStyle w:val="20"/>
              <w:spacing w:beforeLines="0" w:afterLines="0"/>
              <w:rPr>
                <w:rFonts w:hint="eastAsia" w:hAnsi="宋体" w:cs="宋体"/>
                <w:snapToGrid w:val="0"/>
                <w:color w:val="000000"/>
                <w:kern w:val="21"/>
                <w:sz w:val="18"/>
                <w:szCs w:val="18"/>
              </w:rPr>
            </w:pPr>
            <w:r>
              <w:rPr>
                <w:rFonts w:hint="eastAsia" w:hAnsi="宋体" w:cs="宋体"/>
                <w:snapToGrid w:val="0"/>
                <w:color w:val="000000"/>
                <w:kern w:val="21"/>
                <w:sz w:val="18"/>
                <w:szCs w:val="18"/>
              </w:rPr>
              <w:t>生活污水</w:t>
            </w:r>
          </w:p>
        </w:tc>
        <w:tc>
          <w:tcPr>
            <w:tcW w:w="1536" w:type="dxa"/>
            <w:vAlign w:val="center"/>
          </w:tcPr>
          <w:p w14:paraId="20DD3451">
            <w:pPr>
              <w:jc w:val="center"/>
              <w:rPr>
                <w:sz w:val="18"/>
                <w:szCs w:val="18"/>
              </w:rPr>
            </w:pPr>
            <w:r>
              <w:rPr>
                <w:rFonts w:hint="eastAsia"/>
                <w:sz w:val="18"/>
                <w:szCs w:val="18"/>
              </w:rPr>
              <w:t>0</w:t>
            </w:r>
          </w:p>
        </w:tc>
        <w:tc>
          <w:tcPr>
            <w:tcW w:w="1276" w:type="dxa"/>
            <w:vAlign w:val="center"/>
          </w:tcPr>
          <w:p w14:paraId="16CB9929">
            <w:pPr>
              <w:jc w:val="center"/>
              <w:rPr>
                <w:sz w:val="18"/>
                <w:szCs w:val="18"/>
              </w:rPr>
            </w:pPr>
            <w:r>
              <w:rPr>
                <w:rFonts w:hint="eastAsia"/>
                <w:sz w:val="18"/>
                <w:szCs w:val="18"/>
              </w:rPr>
              <w:t>/</w:t>
            </w:r>
          </w:p>
        </w:tc>
        <w:tc>
          <w:tcPr>
            <w:tcW w:w="1497" w:type="dxa"/>
            <w:vAlign w:val="center"/>
          </w:tcPr>
          <w:p w14:paraId="17EA7123">
            <w:pPr>
              <w:jc w:val="center"/>
              <w:rPr>
                <w:sz w:val="18"/>
                <w:szCs w:val="18"/>
              </w:rPr>
            </w:pPr>
            <w:r>
              <w:rPr>
                <w:rFonts w:hint="eastAsia"/>
                <w:sz w:val="18"/>
                <w:szCs w:val="18"/>
              </w:rPr>
              <w:t>/</w:t>
            </w:r>
          </w:p>
        </w:tc>
        <w:tc>
          <w:tcPr>
            <w:tcW w:w="1763" w:type="dxa"/>
            <w:vAlign w:val="center"/>
          </w:tcPr>
          <w:p w14:paraId="594F76FD">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16899653">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1F3A10EF">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494D0782">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1AEC2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271CEFCD">
            <w:pPr>
              <w:pStyle w:val="20"/>
              <w:spacing w:beforeLines="0" w:afterLines="0"/>
              <w:rPr>
                <w:rFonts w:hint="eastAsia" w:hAnsi="宋体" w:cs="宋体"/>
                <w:snapToGrid w:val="0"/>
                <w:color w:val="000000"/>
                <w:kern w:val="21"/>
                <w:sz w:val="18"/>
                <w:szCs w:val="18"/>
              </w:rPr>
            </w:pPr>
          </w:p>
        </w:tc>
        <w:tc>
          <w:tcPr>
            <w:tcW w:w="1582" w:type="dxa"/>
            <w:vAlign w:val="center"/>
          </w:tcPr>
          <w:p w14:paraId="75604850">
            <w:pPr>
              <w:spacing w:line="320" w:lineRule="exact"/>
              <w:jc w:val="center"/>
              <w:rPr>
                <w:rFonts w:hint="eastAsia" w:hAnsi="宋体" w:cs="宋体"/>
                <w:snapToGrid w:val="0"/>
                <w:color w:val="000000"/>
                <w:kern w:val="21"/>
                <w:sz w:val="18"/>
                <w:szCs w:val="18"/>
              </w:rPr>
            </w:pPr>
            <w:r>
              <w:rPr>
                <w:sz w:val="18"/>
                <w:szCs w:val="18"/>
              </w:rPr>
              <w:t>COD</w:t>
            </w:r>
          </w:p>
        </w:tc>
        <w:tc>
          <w:tcPr>
            <w:tcW w:w="1536" w:type="dxa"/>
            <w:vAlign w:val="center"/>
          </w:tcPr>
          <w:p w14:paraId="4B918E14">
            <w:pPr>
              <w:jc w:val="center"/>
              <w:rPr>
                <w:sz w:val="18"/>
                <w:szCs w:val="18"/>
              </w:rPr>
            </w:pPr>
            <w:r>
              <w:rPr>
                <w:rFonts w:hint="eastAsia"/>
                <w:sz w:val="18"/>
                <w:szCs w:val="18"/>
              </w:rPr>
              <w:t>0</w:t>
            </w:r>
          </w:p>
        </w:tc>
        <w:tc>
          <w:tcPr>
            <w:tcW w:w="1276" w:type="dxa"/>
            <w:vAlign w:val="center"/>
          </w:tcPr>
          <w:p w14:paraId="76E3A419">
            <w:pPr>
              <w:jc w:val="center"/>
              <w:rPr>
                <w:sz w:val="18"/>
                <w:szCs w:val="18"/>
              </w:rPr>
            </w:pPr>
            <w:r>
              <w:rPr>
                <w:rFonts w:hint="eastAsia"/>
                <w:sz w:val="18"/>
                <w:szCs w:val="18"/>
              </w:rPr>
              <w:t>/</w:t>
            </w:r>
          </w:p>
        </w:tc>
        <w:tc>
          <w:tcPr>
            <w:tcW w:w="1497" w:type="dxa"/>
            <w:vAlign w:val="center"/>
          </w:tcPr>
          <w:p w14:paraId="75C4113D">
            <w:pPr>
              <w:jc w:val="center"/>
              <w:rPr>
                <w:sz w:val="18"/>
                <w:szCs w:val="18"/>
              </w:rPr>
            </w:pPr>
            <w:r>
              <w:rPr>
                <w:rFonts w:hint="eastAsia"/>
                <w:sz w:val="18"/>
                <w:szCs w:val="18"/>
              </w:rPr>
              <w:t>/</w:t>
            </w:r>
          </w:p>
        </w:tc>
        <w:tc>
          <w:tcPr>
            <w:tcW w:w="1763" w:type="dxa"/>
            <w:vAlign w:val="center"/>
          </w:tcPr>
          <w:p w14:paraId="7B26650F">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79D1DD05">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888" w:type="dxa"/>
            <w:vAlign w:val="center"/>
          </w:tcPr>
          <w:p w14:paraId="55387D0F">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0D1A5FE4">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0E15A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1891184">
            <w:pPr>
              <w:pStyle w:val="20"/>
              <w:spacing w:beforeLines="0" w:afterLines="0"/>
              <w:rPr>
                <w:rFonts w:hint="eastAsia" w:hAnsi="宋体" w:cs="宋体"/>
                <w:snapToGrid w:val="0"/>
                <w:color w:val="000000"/>
                <w:kern w:val="21"/>
                <w:sz w:val="18"/>
                <w:szCs w:val="18"/>
              </w:rPr>
            </w:pPr>
          </w:p>
        </w:tc>
        <w:tc>
          <w:tcPr>
            <w:tcW w:w="1582" w:type="dxa"/>
            <w:vAlign w:val="center"/>
          </w:tcPr>
          <w:p w14:paraId="3C262531">
            <w:pPr>
              <w:spacing w:line="320" w:lineRule="exact"/>
              <w:jc w:val="center"/>
              <w:rPr>
                <w:rFonts w:hint="eastAsia" w:hAnsi="宋体" w:cs="宋体"/>
                <w:snapToGrid w:val="0"/>
                <w:color w:val="000000"/>
                <w:kern w:val="21"/>
                <w:sz w:val="18"/>
                <w:szCs w:val="18"/>
              </w:rPr>
            </w:pPr>
            <w:r>
              <w:rPr>
                <w:sz w:val="18"/>
                <w:szCs w:val="18"/>
              </w:rPr>
              <w:t>SS</w:t>
            </w:r>
          </w:p>
        </w:tc>
        <w:tc>
          <w:tcPr>
            <w:tcW w:w="1536" w:type="dxa"/>
            <w:vAlign w:val="center"/>
          </w:tcPr>
          <w:p w14:paraId="22183B27">
            <w:pPr>
              <w:jc w:val="center"/>
              <w:rPr>
                <w:sz w:val="18"/>
                <w:szCs w:val="18"/>
              </w:rPr>
            </w:pPr>
            <w:r>
              <w:rPr>
                <w:rFonts w:hint="eastAsia"/>
                <w:sz w:val="18"/>
                <w:szCs w:val="18"/>
              </w:rPr>
              <w:t>0</w:t>
            </w:r>
          </w:p>
        </w:tc>
        <w:tc>
          <w:tcPr>
            <w:tcW w:w="1276" w:type="dxa"/>
            <w:vAlign w:val="center"/>
          </w:tcPr>
          <w:p w14:paraId="2CEF26FD">
            <w:pPr>
              <w:jc w:val="center"/>
              <w:rPr>
                <w:sz w:val="18"/>
                <w:szCs w:val="18"/>
              </w:rPr>
            </w:pPr>
            <w:r>
              <w:rPr>
                <w:rFonts w:hint="eastAsia"/>
                <w:sz w:val="18"/>
                <w:szCs w:val="18"/>
              </w:rPr>
              <w:t>/</w:t>
            </w:r>
          </w:p>
        </w:tc>
        <w:tc>
          <w:tcPr>
            <w:tcW w:w="1497" w:type="dxa"/>
            <w:vAlign w:val="center"/>
          </w:tcPr>
          <w:p w14:paraId="59D25DF2">
            <w:pPr>
              <w:jc w:val="center"/>
              <w:rPr>
                <w:sz w:val="18"/>
                <w:szCs w:val="18"/>
              </w:rPr>
            </w:pPr>
            <w:r>
              <w:rPr>
                <w:rFonts w:hint="eastAsia"/>
                <w:sz w:val="18"/>
                <w:szCs w:val="18"/>
              </w:rPr>
              <w:t>/</w:t>
            </w:r>
          </w:p>
        </w:tc>
        <w:tc>
          <w:tcPr>
            <w:tcW w:w="1763" w:type="dxa"/>
            <w:vAlign w:val="center"/>
          </w:tcPr>
          <w:p w14:paraId="03E093A8">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4341F2DB">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888" w:type="dxa"/>
            <w:vAlign w:val="center"/>
          </w:tcPr>
          <w:p w14:paraId="16D6736F">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502E4CEF">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2DF65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36A98EA">
            <w:pPr>
              <w:pStyle w:val="20"/>
              <w:spacing w:beforeLines="0" w:afterLines="0"/>
              <w:rPr>
                <w:rFonts w:hint="eastAsia" w:hAnsi="宋体" w:cs="宋体"/>
                <w:snapToGrid w:val="0"/>
                <w:color w:val="000000"/>
                <w:kern w:val="21"/>
                <w:sz w:val="18"/>
                <w:szCs w:val="18"/>
              </w:rPr>
            </w:pPr>
          </w:p>
        </w:tc>
        <w:tc>
          <w:tcPr>
            <w:tcW w:w="1582" w:type="dxa"/>
            <w:vAlign w:val="center"/>
          </w:tcPr>
          <w:p w14:paraId="0FCD6883">
            <w:pPr>
              <w:spacing w:line="320" w:lineRule="exact"/>
              <w:jc w:val="center"/>
              <w:rPr>
                <w:rFonts w:hint="eastAsia" w:hAnsi="宋体" w:cs="宋体"/>
                <w:snapToGrid w:val="0"/>
                <w:color w:val="000000"/>
                <w:kern w:val="21"/>
                <w:sz w:val="18"/>
                <w:szCs w:val="18"/>
              </w:rPr>
            </w:pPr>
            <w:r>
              <w:rPr>
                <w:sz w:val="18"/>
                <w:szCs w:val="18"/>
              </w:rPr>
              <w:t>NH</w:t>
            </w:r>
            <w:r>
              <w:rPr>
                <w:sz w:val="18"/>
                <w:szCs w:val="18"/>
                <w:vertAlign w:val="subscript"/>
              </w:rPr>
              <w:t>3</w:t>
            </w:r>
            <w:r>
              <w:rPr>
                <w:sz w:val="18"/>
                <w:szCs w:val="18"/>
              </w:rPr>
              <w:t>-N</w:t>
            </w:r>
          </w:p>
        </w:tc>
        <w:tc>
          <w:tcPr>
            <w:tcW w:w="1536" w:type="dxa"/>
            <w:vAlign w:val="center"/>
          </w:tcPr>
          <w:p w14:paraId="33ECAB27">
            <w:pPr>
              <w:jc w:val="center"/>
              <w:rPr>
                <w:sz w:val="18"/>
                <w:szCs w:val="18"/>
              </w:rPr>
            </w:pPr>
            <w:r>
              <w:rPr>
                <w:rFonts w:hint="eastAsia"/>
                <w:sz w:val="18"/>
                <w:szCs w:val="18"/>
              </w:rPr>
              <w:t>0</w:t>
            </w:r>
          </w:p>
        </w:tc>
        <w:tc>
          <w:tcPr>
            <w:tcW w:w="1276" w:type="dxa"/>
            <w:vAlign w:val="center"/>
          </w:tcPr>
          <w:p w14:paraId="17C687EA">
            <w:pPr>
              <w:jc w:val="center"/>
              <w:rPr>
                <w:sz w:val="18"/>
                <w:szCs w:val="18"/>
              </w:rPr>
            </w:pPr>
            <w:r>
              <w:rPr>
                <w:rFonts w:hint="eastAsia"/>
                <w:sz w:val="18"/>
                <w:szCs w:val="18"/>
              </w:rPr>
              <w:t>/</w:t>
            </w:r>
          </w:p>
        </w:tc>
        <w:tc>
          <w:tcPr>
            <w:tcW w:w="1497" w:type="dxa"/>
            <w:vAlign w:val="center"/>
          </w:tcPr>
          <w:p w14:paraId="37BADE39">
            <w:pPr>
              <w:jc w:val="center"/>
              <w:rPr>
                <w:sz w:val="18"/>
                <w:szCs w:val="18"/>
              </w:rPr>
            </w:pPr>
            <w:r>
              <w:rPr>
                <w:rFonts w:hint="eastAsia"/>
                <w:sz w:val="18"/>
                <w:szCs w:val="18"/>
              </w:rPr>
              <w:t>/</w:t>
            </w:r>
          </w:p>
        </w:tc>
        <w:tc>
          <w:tcPr>
            <w:tcW w:w="1763" w:type="dxa"/>
            <w:vAlign w:val="center"/>
          </w:tcPr>
          <w:p w14:paraId="4476A234">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55378832">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888" w:type="dxa"/>
            <w:vAlign w:val="center"/>
          </w:tcPr>
          <w:p w14:paraId="431DAE33">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0B6F8B9F">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631E7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2E4C66AA">
            <w:pPr>
              <w:pStyle w:val="20"/>
              <w:spacing w:beforeLines="0" w:afterLines="0"/>
              <w:rPr>
                <w:rFonts w:hint="eastAsia" w:hAnsi="宋体" w:cs="宋体"/>
                <w:snapToGrid w:val="0"/>
                <w:color w:val="000000"/>
                <w:kern w:val="21"/>
                <w:sz w:val="18"/>
                <w:szCs w:val="18"/>
              </w:rPr>
            </w:pPr>
          </w:p>
        </w:tc>
        <w:tc>
          <w:tcPr>
            <w:tcW w:w="1582" w:type="dxa"/>
            <w:vAlign w:val="center"/>
          </w:tcPr>
          <w:p w14:paraId="5163BAB9">
            <w:pPr>
              <w:spacing w:line="320" w:lineRule="exact"/>
              <w:jc w:val="center"/>
              <w:rPr>
                <w:rFonts w:hint="eastAsia" w:hAnsi="宋体" w:cs="宋体"/>
                <w:snapToGrid w:val="0"/>
                <w:color w:val="000000"/>
                <w:kern w:val="21"/>
                <w:sz w:val="18"/>
                <w:szCs w:val="18"/>
              </w:rPr>
            </w:pPr>
            <w:r>
              <w:rPr>
                <w:sz w:val="18"/>
                <w:szCs w:val="18"/>
              </w:rPr>
              <w:t>TP</w:t>
            </w:r>
          </w:p>
        </w:tc>
        <w:tc>
          <w:tcPr>
            <w:tcW w:w="1536" w:type="dxa"/>
            <w:vAlign w:val="center"/>
          </w:tcPr>
          <w:p w14:paraId="16681215">
            <w:pPr>
              <w:jc w:val="center"/>
              <w:rPr>
                <w:sz w:val="18"/>
                <w:szCs w:val="18"/>
              </w:rPr>
            </w:pPr>
            <w:r>
              <w:rPr>
                <w:rFonts w:hint="eastAsia"/>
                <w:sz w:val="18"/>
                <w:szCs w:val="18"/>
              </w:rPr>
              <w:t>0</w:t>
            </w:r>
          </w:p>
        </w:tc>
        <w:tc>
          <w:tcPr>
            <w:tcW w:w="1276" w:type="dxa"/>
            <w:vAlign w:val="center"/>
          </w:tcPr>
          <w:p w14:paraId="5BCCEAB3">
            <w:pPr>
              <w:jc w:val="center"/>
              <w:rPr>
                <w:sz w:val="18"/>
                <w:szCs w:val="18"/>
              </w:rPr>
            </w:pPr>
            <w:r>
              <w:rPr>
                <w:rFonts w:hint="eastAsia"/>
                <w:sz w:val="18"/>
                <w:szCs w:val="18"/>
              </w:rPr>
              <w:t>/</w:t>
            </w:r>
          </w:p>
        </w:tc>
        <w:tc>
          <w:tcPr>
            <w:tcW w:w="1497" w:type="dxa"/>
            <w:vAlign w:val="center"/>
          </w:tcPr>
          <w:p w14:paraId="569849F4">
            <w:pPr>
              <w:jc w:val="center"/>
              <w:rPr>
                <w:sz w:val="18"/>
                <w:szCs w:val="18"/>
              </w:rPr>
            </w:pPr>
            <w:r>
              <w:rPr>
                <w:rFonts w:hint="eastAsia"/>
                <w:sz w:val="18"/>
                <w:szCs w:val="18"/>
              </w:rPr>
              <w:t>/</w:t>
            </w:r>
          </w:p>
        </w:tc>
        <w:tc>
          <w:tcPr>
            <w:tcW w:w="1763" w:type="dxa"/>
            <w:vAlign w:val="center"/>
          </w:tcPr>
          <w:p w14:paraId="672E2E83">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34F30BE1">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888" w:type="dxa"/>
            <w:vAlign w:val="center"/>
          </w:tcPr>
          <w:p w14:paraId="6CA4816C">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6D7BFCA5">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322D5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7205B6B4">
            <w:pPr>
              <w:pStyle w:val="20"/>
              <w:spacing w:beforeLines="0" w:afterLines="0"/>
              <w:rPr>
                <w:rFonts w:hint="eastAsia" w:hAnsi="宋体" w:cs="宋体"/>
                <w:snapToGrid w:val="0"/>
                <w:color w:val="000000"/>
                <w:kern w:val="21"/>
                <w:sz w:val="18"/>
                <w:szCs w:val="18"/>
              </w:rPr>
            </w:pPr>
          </w:p>
        </w:tc>
        <w:tc>
          <w:tcPr>
            <w:tcW w:w="1582" w:type="dxa"/>
            <w:vAlign w:val="center"/>
          </w:tcPr>
          <w:p w14:paraId="46ED7EAD">
            <w:pPr>
              <w:spacing w:line="320" w:lineRule="exact"/>
              <w:jc w:val="center"/>
              <w:rPr>
                <w:rFonts w:hint="eastAsia" w:hAnsi="宋体" w:cs="宋体"/>
                <w:snapToGrid w:val="0"/>
                <w:color w:val="000000"/>
                <w:kern w:val="21"/>
                <w:sz w:val="18"/>
                <w:szCs w:val="18"/>
              </w:rPr>
            </w:pPr>
            <w:r>
              <w:rPr>
                <w:rFonts w:hint="eastAsia"/>
                <w:sz w:val="18"/>
                <w:szCs w:val="18"/>
              </w:rPr>
              <w:t>TN</w:t>
            </w:r>
          </w:p>
        </w:tc>
        <w:tc>
          <w:tcPr>
            <w:tcW w:w="1536" w:type="dxa"/>
            <w:vAlign w:val="center"/>
          </w:tcPr>
          <w:p w14:paraId="783408E0">
            <w:pPr>
              <w:jc w:val="center"/>
              <w:rPr>
                <w:sz w:val="18"/>
                <w:szCs w:val="18"/>
              </w:rPr>
            </w:pPr>
            <w:r>
              <w:rPr>
                <w:rFonts w:hint="eastAsia"/>
                <w:sz w:val="18"/>
                <w:szCs w:val="18"/>
              </w:rPr>
              <w:t>0</w:t>
            </w:r>
          </w:p>
        </w:tc>
        <w:tc>
          <w:tcPr>
            <w:tcW w:w="1276" w:type="dxa"/>
            <w:vAlign w:val="center"/>
          </w:tcPr>
          <w:p w14:paraId="5C765CDD">
            <w:pPr>
              <w:jc w:val="center"/>
              <w:rPr>
                <w:sz w:val="18"/>
                <w:szCs w:val="18"/>
              </w:rPr>
            </w:pPr>
            <w:r>
              <w:rPr>
                <w:rFonts w:hint="eastAsia"/>
                <w:sz w:val="18"/>
                <w:szCs w:val="18"/>
              </w:rPr>
              <w:t>/</w:t>
            </w:r>
          </w:p>
        </w:tc>
        <w:tc>
          <w:tcPr>
            <w:tcW w:w="1497" w:type="dxa"/>
            <w:vAlign w:val="center"/>
          </w:tcPr>
          <w:p w14:paraId="248DABB1">
            <w:pPr>
              <w:jc w:val="center"/>
              <w:rPr>
                <w:sz w:val="18"/>
                <w:szCs w:val="18"/>
              </w:rPr>
            </w:pPr>
            <w:r>
              <w:rPr>
                <w:rFonts w:hint="eastAsia"/>
                <w:sz w:val="18"/>
                <w:szCs w:val="18"/>
              </w:rPr>
              <w:t>/</w:t>
            </w:r>
          </w:p>
        </w:tc>
        <w:tc>
          <w:tcPr>
            <w:tcW w:w="1763" w:type="dxa"/>
            <w:vAlign w:val="center"/>
          </w:tcPr>
          <w:p w14:paraId="0D1C97BE">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5E91F256">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888" w:type="dxa"/>
            <w:vAlign w:val="center"/>
          </w:tcPr>
          <w:p w14:paraId="6B785F10">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2B515485">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278C2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7C7FBD68">
            <w:pPr>
              <w:pStyle w:val="20"/>
              <w:spacing w:beforeLines="0" w:afterLines="0"/>
              <w:rPr>
                <w:rFonts w:hint="eastAsia" w:hAnsi="宋体" w:cs="宋体"/>
                <w:snapToGrid w:val="0"/>
                <w:color w:val="000000"/>
                <w:kern w:val="21"/>
                <w:sz w:val="18"/>
                <w:szCs w:val="18"/>
              </w:rPr>
            </w:pPr>
          </w:p>
        </w:tc>
        <w:tc>
          <w:tcPr>
            <w:tcW w:w="1582" w:type="dxa"/>
            <w:vAlign w:val="center"/>
          </w:tcPr>
          <w:p w14:paraId="5C404DAE">
            <w:pPr>
              <w:spacing w:line="320" w:lineRule="exact"/>
              <w:jc w:val="center"/>
              <w:rPr>
                <w:sz w:val="18"/>
                <w:szCs w:val="18"/>
              </w:rPr>
            </w:pPr>
            <w:r>
              <w:rPr>
                <w:rFonts w:hint="eastAsia"/>
                <w:sz w:val="18"/>
                <w:szCs w:val="18"/>
              </w:rPr>
              <w:t>动植物油</w:t>
            </w:r>
          </w:p>
        </w:tc>
        <w:tc>
          <w:tcPr>
            <w:tcW w:w="1536" w:type="dxa"/>
            <w:vAlign w:val="center"/>
          </w:tcPr>
          <w:p w14:paraId="5FB0F083">
            <w:pPr>
              <w:jc w:val="center"/>
              <w:rPr>
                <w:sz w:val="18"/>
                <w:szCs w:val="18"/>
              </w:rPr>
            </w:pPr>
            <w:r>
              <w:rPr>
                <w:rFonts w:hint="eastAsia"/>
                <w:sz w:val="18"/>
                <w:szCs w:val="18"/>
              </w:rPr>
              <w:t>0</w:t>
            </w:r>
          </w:p>
        </w:tc>
        <w:tc>
          <w:tcPr>
            <w:tcW w:w="1276" w:type="dxa"/>
            <w:vAlign w:val="center"/>
          </w:tcPr>
          <w:p w14:paraId="56EEA14E">
            <w:pPr>
              <w:jc w:val="center"/>
              <w:rPr>
                <w:rFonts w:hint="eastAsia" w:eastAsia="宋体"/>
                <w:sz w:val="18"/>
                <w:szCs w:val="18"/>
                <w:lang w:val="en-US" w:eastAsia="zh-CN"/>
              </w:rPr>
            </w:pPr>
            <w:r>
              <w:rPr>
                <w:rFonts w:hint="eastAsia"/>
                <w:sz w:val="18"/>
                <w:szCs w:val="18"/>
                <w:lang w:val="en-US" w:eastAsia="zh-CN"/>
              </w:rPr>
              <w:t>/</w:t>
            </w:r>
          </w:p>
        </w:tc>
        <w:tc>
          <w:tcPr>
            <w:tcW w:w="1497" w:type="dxa"/>
            <w:vAlign w:val="center"/>
          </w:tcPr>
          <w:p w14:paraId="02EFB3BE">
            <w:pPr>
              <w:jc w:val="center"/>
              <w:rPr>
                <w:rFonts w:hint="eastAsia" w:eastAsia="宋体"/>
                <w:sz w:val="18"/>
                <w:szCs w:val="18"/>
                <w:lang w:val="en-US" w:eastAsia="zh-CN"/>
              </w:rPr>
            </w:pPr>
            <w:r>
              <w:rPr>
                <w:rFonts w:hint="eastAsia"/>
                <w:sz w:val="18"/>
                <w:szCs w:val="18"/>
                <w:lang w:val="en-US" w:eastAsia="zh-CN"/>
              </w:rPr>
              <w:t>/</w:t>
            </w:r>
          </w:p>
        </w:tc>
        <w:tc>
          <w:tcPr>
            <w:tcW w:w="1763" w:type="dxa"/>
            <w:vAlign w:val="center"/>
          </w:tcPr>
          <w:p w14:paraId="6F40A6EE">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0E47201A">
            <w:pPr>
              <w:jc w:val="center"/>
              <w:rPr>
                <w:rFonts w:hint="default"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888" w:type="dxa"/>
            <w:vAlign w:val="center"/>
          </w:tcPr>
          <w:p w14:paraId="6BBD88AA">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28F51011">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0AADC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326FC830">
            <w:pPr>
              <w:pStyle w:val="20"/>
              <w:spacing w:beforeLines="0" w:afterLines="0"/>
              <w:rPr>
                <w:rFonts w:hint="eastAsia" w:hAnsi="宋体" w:cs="宋体"/>
                <w:snapToGrid w:val="0"/>
                <w:color w:val="000000"/>
                <w:kern w:val="21"/>
                <w:sz w:val="18"/>
                <w:szCs w:val="18"/>
              </w:rPr>
            </w:pPr>
          </w:p>
        </w:tc>
        <w:tc>
          <w:tcPr>
            <w:tcW w:w="1582" w:type="dxa"/>
            <w:vAlign w:val="center"/>
          </w:tcPr>
          <w:p w14:paraId="51E439C9">
            <w:pPr>
              <w:jc w:val="center"/>
              <w:rPr>
                <w:rFonts w:hint="default"/>
                <w:kern w:val="0"/>
                <w:sz w:val="18"/>
                <w:szCs w:val="18"/>
                <w:lang w:val="en-US" w:eastAsia="zh-CN"/>
              </w:rPr>
            </w:pPr>
            <w:r>
              <w:rPr>
                <w:rFonts w:hint="eastAsia"/>
                <w:kern w:val="0"/>
                <w:sz w:val="18"/>
                <w:szCs w:val="18"/>
                <w:lang w:val="en-US" w:eastAsia="zh-CN"/>
              </w:rPr>
              <w:t>生产废水</w:t>
            </w:r>
          </w:p>
        </w:tc>
        <w:tc>
          <w:tcPr>
            <w:tcW w:w="1536" w:type="dxa"/>
            <w:vAlign w:val="center"/>
          </w:tcPr>
          <w:p w14:paraId="7A15CA34">
            <w:pPr>
              <w:jc w:val="center"/>
              <w:rPr>
                <w:rFonts w:hint="eastAsia"/>
                <w:sz w:val="18"/>
                <w:szCs w:val="18"/>
                <w:lang w:val="en-US" w:eastAsia="zh-CN"/>
              </w:rPr>
            </w:pPr>
            <w:r>
              <w:rPr>
                <w:rFonts w:hint="eastAsia"/>
                <w:sz w:val="18"/>
                <w:szCs w:val="18"/>
              </w:rPr>
              <w:t>0</w:t>
            </w:r>
          </w:p>
        </w:tc>
        <w:tc>
          <w:tcPr>
            <w:tcW w:w="1276" w:type="dxa"/>
            <w:vAlign w:val="center"/>
          </w:tcPr>
          <w:p w14:paraId="79365928">
            <w:pPr>
              <w:jc w:val="center"/>
              <w:rPr>
                <w:rFonts w:hint="eastAsia"/>
                <w:sz w:val="18"/>
                <w:szCs w:val="18"/>
              </w:rPr>
            </w:pPr>
            <w:r>
              <w:rPr>
                <w:rFonts w:hint="eastAsia"/>
                <w:sz w:val="18"/>
                <w:szCs w:val="18"/>
              </w:rPr>
              <w:t>/</w:t>
            </w:r>
          </w:p>
        </w:tc>
        <w:tc>
          <w:tcPr>
            <w:tcW w:w="1497" w:type="dxa"/>
            <w:vAlign w:val="center"/>
          </w:tcPr>
          <w:p w14:paraId="2CE7DD7D">
            <w:pPr>
              <w:jc w:val="center"/>
              <w:rPr>
                <w:rFonts w:hint="eastAsia"/>
                <w:sz w:val="18"/>
                <w:szCs w:val="18"/>
              </w:rPr>
            </w:pPr>
            <w:r>
              <w:rPr>
                <w:rFonts w:hint="eastAsia"/>
                <w:sz w:val="18"/>
                <w:szCs w:val="18"/>
              </w:rPr>
              <w:t>/</w:t>
            </w:r>
          </w:p>
        </w:tc>
        <w:tc>
          <w:tcPr>
            <w:tcW w:w="1763" w:type="dxa"/>
            <w:vAlign w:val="center"/>
          </w:tcPr>
          <w:p w14:paraId="5FDE2AFD">
            <w:pPr>
              <w:jc w:val="center"/>
              <w:rPr>
                <w:rFonts w:hint="default"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011EF4A7">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5932AE6C">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0034C892">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6DBB1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3F4C6D71">
            <w:pPr>
              <w:pStyle w:val="20"/>
              <w:spacing w:beforeLines="0" w:afterLines="0"/>
              <w:rPr>
                <w:rFonts w:hint="eastAsia" w:hAnsi="宋体" w:cs="宋体"/>
                <w:snapToGrid w:val="0"/>
                <w:color w:val="000000"/>
                <w:kern w:val="21"/>
                <w:sz w:val="18"/>
                <w:szCs w:val="18"/>
              </w:rPr>
            </w:pPr>
          </w:p>
        </w:tc>
        <w:tc>
          <w:tcPr>
            <w:tcW w:w="1582" w:type="dxa"/>
            <w:vAlign w:val="center"/>
          </w:tcPr>
          <w:p w14:paraId="0C4646A1">
            <w:pPr>
              <w:jc w:val="center"/>
              <w:rPr>
                <w:rFonts w:hint="default"/>
                <w:kern w:val="0"/>
                <w:sz w:val="18"/>
                <w:szCs w:val="18"/>
                <w:lang w:val="en-US" w:eastAsia="zh-CN"/>
              </w:rPr>
            </w:pPr>
            <w:r>
              <w:rPr>
                <w:rFonts w:hint="eastAsia"/>
                <w:kern w:val="0"/>
                <w:sz w:val="18"/>
                <w:szCs w:val="18"/>
                <w:lang w:val="en-US" w:eastAsia="zh-CN"/>
              </w:rPr>
              <w:t>COD</w:t>
            </w:r>
          </w:p>
        </w:tc>
        <w:tc>
          <w:tcPr>
            <w:tcW w:w="1536" w:type="dxa"/>
            <w:vAlign w:val="center"/>
          </w:tcPr>
          <w:p w14:paraId="7FB32A21">
            <w:pPr>
              <w:jc w:val="center"/>
              <w:rPr>
                <w:rFonts w:hint="eastAsia"/>
                <w:sz w:val="18"/>
                <w:szCs w:val="18"/>
                <w:lang w:val="en-US" w:eastAsia="zh-CN"/>
              </w:rPr>
            </w:pPr>
            <w:r>
              <w:rPr>
                <w:rFonts w:hint="eastAsia"/>
                <w:sz w:val="18"/>
                <w:szCs w:val="18"/>
              </w:rPr>
              <w:t>0</w:t>
            </w:r>
          </w:p>
        </w:tc>
        <w:tc>
          <w:tcPr>
            <w:tcW w:w="1276" w:type="dxa"/>
            <w:vAlign w:val="center"/>
          </w:tcPr>
          <w:p w14:paraId="079B587E">
            <w:pPr>
              <w:jc w:val="center"/>
              <w:rPr>
                <w:rFonts w:hint="eastAsia"/>
                <w:sz w:val="18"/>
                <w:szCs w:val="18"/>
              </w:rPr>
            </w:pPr>
            <w:r>
              <w:rPr>
                <w:rFonts w:hint="eastAsia"/>
                <w:sz w:val="18"/>
                <w:szCs w:val="18"/>
              </w:rPr>
              <w:t>/</w:t>
            </w:r>
          </w:p>
        </w:tc>
        <w:tc>
          <w:tcPr>
            <w:tcW w:w="1497" w:type="dxa"/>
            <w:vAlign w:val="center"/>
          </w:tcPr>
          <w:p w14:paraId="42AB02CB">
            <w:pPr>
              <w:jc w:val="center"/>
              <w:rPr>
                <w:rFonts w:hint="eastAsia"/>
                <w:sz w:val="18"/>
                <w:szCs w:val="18"/>
              </w:rPr>
            </w:pPr>
            <w:r>
              <w:rPr>
                <w:rFonts w:hint="eastAsia"/>
                <w:sz w:val="18"/>
                <w:szCs w:val="18"/>
              </w:rPr>
              <w:t>/</w:t>
            </w:r>
          </w:p>
        </w:tc>
        <w:tc>
          <w:tcPr>
            <w:tcW w:w="1763" w:type="dxa"/>
            <w:vAlign w:val="center"/>
          </w:tcPr>
          <w:p w14:paraId="194AFC29">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4ADF8B7B">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7DE4CF60">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0F65B9AF">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0B2AE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E915665">
            <w:pPr>
              <w:pStyle w:val="20"/>
              <w:spacing w:beforeLines="0" w:afterLines="0"/>
              <w:rPr>
                <w:rFonts w:hint="eastAsia" w:hAnsi="宋体" w:cs="宋体"/>
                <w:snapToGrid w:val="0"/>
                <w:color w:val="000000"/>
                <w:kern w:val="21"/>
                <w:sz w:val="18"/>
                <w:szCs w:val="18"/>
              </w:rPr>
            </w:pPr>
          </w:p>
        </w:tc>
        <w:tc>
          <w:tcPr>
            <w:tcW w:w="1582" w:type="dxa"/>
            <w:vAlign w:val="center"/>
          </w:tcPr>
          <w:p w14:paraId="4E90714F">
            <w:pPr>
              <w:jc w:val="center"/>
              <w:rPr>
                <w:rFonts w:hint="default"/>
                <w:kern w:val="0"/>
                <w:sz w:val="18"/>
                <w:szCs w:val="18"/>
                <w:lang w:val="en-US" w:eastAsia="zh-CN"/>
              </w:rPr>
            </w:pPr>
            <w:r>
              <w:rPr>
                <w:rFonts w:hint="eastAsia"/>
                <w:kern w:val="0"/>
                <w:sz w:val="18"/>
                <w:szCs w:val="18"/>
                <w:lang w:val="en-US" w:eastAsia="zh-CN"/>
              </w:rPr>
              <w:t>SS</w:t>
            </w:r>
          </w:p>
        </w:tc>
        <w:tc>
          <w:tcPr>
            <w:tcW w:w="1536" w:type="dxa"/>
            <w:vAlign w:val="center"/>
          </w:tcPr>
          <w:p w14:paraId="753DA4E0">
            <w:pPr>
              <w:jc w:val="center"/>
              <w:rPr>
                <w:rFonts w:hint="eastAsia"/>
                <w:sz w:val="18"/>
                <w:szCs w:val="18"/>
                <w:lang w:val="en-US" w:eastAsia="zh-CN"/>
              </w:rPr>
            </w:pPr>
            <w:r>
              <w:rPr>
                <w:rFonts w:hint="eastAsia"/>
                <w:sz w:val="18"/>
                <w:szCs w:val="18"/>
              </w:rPr>
              <w:t>0</w:t>
            </w:r>
          </w:p>
        </w:tc>
        <w:tc>
          <w:tcPr>
            <w:tcW w:w="1276" w:type="dxa"/>
            <w:vAlign w:val="center"/>
          </w:tcPr>
          <w:p w14:paraId="199C6809">
            <w:pPr>
              <w:jc w:val="center"/>
              <w:rPr>
                <w:rFonts w:hint="eastAsia"/>
                <w:sz w:val="18"/>
                <w:szCs w:val="18"/>
              </w:rPr>
            </w:pPr>
            <w:r>
              <w:rPr>
                <w:rFonts w:hint="eastAsia"/>
                <w:sz w:val="18"/>
                <w:szCs w:val="18"/>
              </w:rPr>
              <w:t>/</w:t>
            </w:r>
          </w:p>
        </w:tc>
        <w:tc>
          <w:tcPr>
            <w:tcW w:w="1497" w:type="dxa"/>
            <w:vAlign w:val="center"/>
          </w:tcPr>
          <w:p w14:paraId="20F7FF22">
            <w:pPr>
              <w:jc w:val="center"/>
              <w:rPr>
                <w:rFonts w:hint="eastAsia"/>
                <w:sz w:val="18"/>
                <w:szCs w:val="18"/>
              </w:rPr>
            </w:pPr>
            <w:r>
              <w:rPr>
                <w:rFonts w:hint="eastAsia"/>
                <w:sz w:val="18"/>
                <w:szCs w:val="18"/>
              </w:rPr>
              <w:t>/</w:t>
            </w:r>
          </w:p>
        </w:tc>
        <w:tc>
          <w:tcPr>
            <w:tcW w:w="1763" w:type="dxa"/>
            <w:vAlign w:val="center"/>
          </w:tcPr>
          <w:p w14:paraId="552E2B7D">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2DAFEF4E">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417C5DEC">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5B1310E3">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147C8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FEF4E40">
            <w:pPr>
              <w:pStyle w:val="20"/>
              <w:spacing w:beforeLines="0" w:afterLines="0"/>
              <w:rPr>
                <w:rFonts w:hint="eastAsia" w:hAnsi="宋体" w:cs="宋体"/>
                <w:snapToGrid w:val="0"/>
                <w:color w:val="000000"/>
                <w:kern w:val="21"/>
                <w:sz w:val="18"/>
                <w:szCs w:val="18"/>
              </w:rPr>
            </w:pPr>
          </w:p>
        </w:tc>
        <w:tc>
          <w:tcPr>
            <w:tcW w:w="1582" w:type="dxa"/>
            <w:vAlign w:val="center"/>
          </w:tcPr>
          <w:p w14:paraId="1425CD4E">
            <w:pPr>
              <w:jc w:val="center"/>
              <w:rPr>
                <w:rFonts w:hint="default"/>
                <w:kern w:val="0"/>
                <w:sz w:val="18"/>
                <w:szCs w:val="18"/>
                <w:lang w:val="en-US" w:eastAsia="zh-CN"/>
              </w:rPr>
            </w:pPr>
            <w:r>
              <w:rPr>
                <w:rFonts w:hint="eastAsia"/>
                <w:kern w:val="0"/>
                <w:sz w:val="18"/>
                <w:szCs w:val="18"/>
                <w:lang w:val="en-US" w:eastAsia="zh-CN"/>
              </w:rPr>
              <w:t>石油类</w:t>
            </w:r>
          </w:p>
        </w:tc>
        <w:tc>
          <w:tcPr>
            <w:tcW w:w="1536" w:type="dxa"/>
            <w:vAlign w:val="center"/>
          </w:tcPr>
          <w:p w14:paraId="5DAD664D">
            <w:pPr>
              <w:jc w:val="center"/>
              <w:rPr>
                <w:rFonts w:hint="eastAsia"/>
                <w:sz w:val="18"/>
                <w:szCs w:val="18"/>
                <w:lang w:val="en-US" w:eastAsia="zh-CN"/>
              </w:rPr>
            </w:pPr>
            <w:r>
              <w:rPr>
                <w:rFonts w:hint="eastAsia"/>
                <w:sz w:val="18"/>
                <w:szCs w:val="18"/>
              </w:rPr>
              <w:t>0</w:t>
            </w:r>
          </w:p>
        </w:tc>
        <w:tc>
          <w:tcPr>
            <w:tcW w:w="1276" w:type="dxa"/>
            <w:vAlign w:val="center"/>
          </w:tcPr>
          <w:p w14:paraId="7CF11030">
            <w:pPr>
              <w:jc w:val="center"/>
              <w:rPr>
                <w:rFonts w:hint="eastAsia"/>
                <w:sz w:val="18"/>
                <w:szCs w:val="18"/>
              </w:rPr>
            </w:pPr>
            <w:r>
              <w:rPr>
                <w:rFonts w:hint="eastAsia"/>
                <w:sz w:val="18"/>
                <w:szCs w:val="18"/>
              </w:rPr>
              <w:t>/</w:t>
            </w:r>
          </w:p>
        </w:tc>
        <w:tc>
          <w:tcPr>
            <w:tcW w:w="1497" w:type="dxa"/>
            <w:vAlign w:val="center"/>
          </w:tcPr>
          <w:p w14:paraId="1B08C345">
            <w:pPr>
              <w:jc w:val="center"/>
              <w:rPr>
                <w:rFonts w:hint="eastAsia"/>
                <w:sz w:val="18"/>
                <w:szCs w:val="18"/>
              </w:rPr>
            </w:pPr>
            <w:r>
              <w:rPr>
                <w:rFonts w:hint="eastAsia"/>
                <w:sz w:val="18"/>
                <w:szCs w:val="18"/>
              </w:rPr>
              <w:t>/</w:t>
            </w:r>
          </w:p>
        </w:tc>
        <w:tc>
          <w:tcPr>
            <w:tcW w:w="1763" w:type="dxa"/>
            <w:vAlign w:val="center"/>
          </w:tcPr>
          <w:p w14:paraId="26B8B319">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686E2985">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7D694767">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750BC763">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16DFD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14959F0F">
            <w:pPr>
              <w:pStyle w:val="20"/>
              <w:spacing w:beforeLines="0" w:afterLines="0"/>
              <w:rPr>
                <w:rFonts w:hint="eastAsia" w:hAnsi="宋体" w:cs="宋体"/>
                <w:snapToGrid w:val="0"/>
                <w:color w:val="000000"/>
                <w:kern w:val="21"/>
                <w:sz w:val="18"/>
                <w:szCs w:val="18"/>
              </w:rPr>
            </w:pPr>
          </w:p>
        </w:tc>
        <w:tc>
          <w:tcPr>
            <w:tcW w:w="1582" w:type="dxa"/>
            <w:vAlign w:val="center"/>
          </w:tcPr>
          <w:p w14:paraId="5565C2D9">
            <w:pPr>
              <w:jc w:val="center"/>
              <w:rPr>
                <w:rFonts w:hint="default"/>
                <w:kern w:val="0"/>
                <w:sz w:val="18"/>
                <w:szCs w:val="18"/>
                <w:lang w:val="en-US" w:eastAsia="zh-CN"/>
              </w:rPr>
            </w:pPr>
            <w:r>
              <w:rPr>
                <w:rFonts w:hint="eastAsia"/>
                <w:kern w:val="0"/>
                <w:sz w:val="18"/>
                <w:szCs w:val="18"/>
                <w:lang w:val="en-US" w:eastAsia="zh-CN"/>
              </w:rPr>
              <w:t>LAS</w:t>
            </w:r>
          </w:p>
        </w:tc>
        <w:tc>
          <w:tcPr>
            <w:tcW w:w="1536" w:type="dxa"/>
            <w:vAlign w:val="center"/>
          </w:tcPr>
          <w:p w14:paraId="31388077">
            <w:pPr>
              <w:jc w:val="center"/>
              <w:rPr>
                <w:rFonts w:hint="eastAsia"/>
                <w:sz w:val="18"/>
                <w:szCs w:val="18"/>
                <w:lang w:val="en-US" w:eastAsia="zh-CN"/>
              </w:rPr>
            </w:pPr>
            <w:r>
              <w:rPr>
                <w:rFonts w:hint="eastAsia"/>
                <w:sz w:val="18"/>
                <w:szCs w:val="18"/>
              </w:rPr>
              <w:t>0</w:t>
            </w:r>
          </w:p>
        </w:tc>
        <w:tc>
          <w:tcPr>
            <w:tcW w:w="1276" w:type="dxa"/>
            <w:vAlign w:val="center"/>
          </w:tcPr>
          <w:p w14:paraId="3259E1C1">
            <w:pPr>
              <w:jc w:val="center"/>
              <w:rPr>
                <w:rFonts w:hint="eastAsia"/>
                <w:sz w:val="18"/>
                <w:szCs w:val="18"/>
              </w:rPr>
            </w:pPr>
            <w:r>
              <w:rPr>
                <w:rFonts w:hint="eastAsia"/>
                <w:sz w:val="18"/>
                <w:szCs w:val="18"/>
              </w:rPr>
              <w:t>/</w:t>
            </w:r>
          </w:p>
        </w:tc>
        <w:tc>
          <w:tcPr>
            <w:tcW w:w="1497" w:type="dxa"/>
            <w:vAlign w:val="center"/>
          </w:tcPr>
          <w:p w14:paraId="25EA76F8">
            <w:pPr>
              <w:jc w:val="center"/>
              <w:rPr>
                <w:rFonts w:hint="eastAsia"/>
                <w:sz w:val="18"/>
                <w:szCs w:val="18"/>
              </w:rPr>
            </w:pPr>
            <w:r>
              <w:rPr>
                <w:rFonts w:hint="eastAsia"/>
                <w:sz w:val="18"/>
                <w:szCs w:val="18"/>
              </w:rPr>
              <w:t>/</w:t>
            </w:r>
          </w:p>
        </w:tc>
        <w:tc>
          <w:tcPr>
            <w:tcW w:w="1763" w:type="dxa"/>
            <w:vAlign w:val="center"/>
          </w:tcPr>
          <w:p w14:paraId="519FB410">
            <w:pPr>
              <w:jc w:val="center"/>
              <w:rPr>
                <w:rFonts w:hint="eastAsia" w:ascii="Times New Roman"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25412B25">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0A2449CB">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577C2460">
            <w:pPr>
              <w:jc w:val="center"/>
              <w:rPr>
                <w:rFonts w:hint="eastAsia" w:hAnsi="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r>
      <w:tr w14:paraId="0763C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7335519C">
            <w:pPr>
              <w:pStyle w:val="20"/>
              <w:spacing w:beforeLines="0" w:afterLines="0"/>
              <w:rPr>
                <w:rFonts w:hint="eastAsia" w:hAnsi="宋体" w:cs="宋体"/>
                <w:snapToGrid w:val="0"/>
                <w:color w:val="000000"/>
                <w:kern w:val="21"/>
                <w:sz w:val="18"/>
                <w:szCs w:val="18"/>
              </w:rPr>
            </w:pPr>
            <w:r>
              <w:rPr>
                <w:rFonts w:hint="eastAsia" w:hAnsi="宋体" w:cs="宋体"/>
                <w:snapToGrid w:val="0"/>
                <w:color w:val="000000"/>
                <w:kern w:val="21"/>
                <w:sz w:val="18"/>
                <w:szCs w:val="18"/>
              </w:rPr>
              <w:t>一般工业</w:t>
            </w:r>
          </w:p>
          <w:p w14:paraId="7A85057B">
            <w:pPr>
              <w:pStyle w:val="20"/>
              <w:spacing w:beforeLines="0" w:afterLines="0"/>
              <w:rPr>
                <w:rFonts w:hint="eastAsia" w:hAnsi="宋体" w:cs="宋体"/>
                <w:snapToGrid w:val="0"/>
                <w:color w:val="000000"/>
                <w:kern w:val="21"/>
                <w:sz w:val="18"/>
                <w:szCs w:val="18"/>
              </w:rPr>
            </w:pPr>
            <w:r>
              <w:rPr>
                <w:rFonts w:hint="eastAsia" w:hAnsi="宋体" w:cs="宋体"/>
                <w:snapToGrid w:val="0"/>
                <w:color w:val="000000"/>
                <w:kern w:val="21"/>
                <w:sz w:val="18"/>
                <w:szCs w:val="18"/>
              </w:rPr>
              <w:t>固体废物</w:t>
            </w:r>
          </w:p>
        </w:tc>
        <w:tc>
          <w:tcPr>
            <w:tcW w:w="1582" w:type="dxa"/>
            <w:vAlign w:val="center"/>
          </w:tcPr>
          <w:p w14:paraId="6FF90258">
            <w:pPr>
              <w:jc w:val="center"/>
              <w:rPr>
                <w:rFonts w:hint="eastAsia" w:hAnsi="宋体" w:cs="宋体"/>
                <w:snapToGrid w:val="0"/>
                <w:color w:val="000000"/>
                <w:kern w:val="21"/>
                <w:sz w:val="18"/>
                <w:szCs w:val="18"/>
              </w:rPr>
            </w:pPr>
            <w:r>
              <w:rPr>
                <w:rFonts w:hint="default" w:ascii="Times New Roman" w:hAnsi="Times New Roman" w:cs="Times New Roman"/>
                <w:sz w:val="18"/>
                <w:szCs w:val="18"/>
              </w:rPr>
              <w:t>一般废包装材料</w:t>
            </w:r>
          </w:p>
        </w:tc>
        <w:tc>
          <w:tcPr>
            <w:tcW w:w="1536" w:type="dxa"/>
            <w:vAlign w:val="center"/>
          </w:tcPr>
          <w:p w14:paraId="17B4426D">
            <w:pPr>
              <w:jc w:val="center"/>
              <w:rPr>
                <w:sz w:val="18"/>
                <w:szCs w:val="18"/>
              </w:rPr>
            </w:pPr>
            <w:r>
              <w:rPr>
                <w:rFonts w:hint="eastAsia"/>
                <w:sz w:val="18"/>
                <w:szCs w:val="18"/>
              </w:rPr>
              <w:t>0</w:t>
            </w:r>
          </w:p>
        </w:tc>
        <w:tc>
          <w:tcPr>
            <w:tcW w:w="1276" w:type="dxa"/>
            <w:vAlign w:val="center"/>
          </w:tcPr>
          <w:p w14:paraId="57FD7FBF">
            <w:pPr>
              <w:jc w:val="center"/>
              <w:rPr>
                <w:sz w:val="18"/>
                <w:szCs w:val="18"/>
              </w:rPr>
            </w:pPr>
            <w:r>
              <w:rPr>
                <w:rFonts w:hint="eastAsia"/>
                <w:sz w:val="18"/>
                <w:szCs w:val="18"/>
              </w:rPr>
              <w:t>/</w:t>
            </w:r>
          </w:p>
        </w:tc>
        <w:tc>
          <w:tcPr>
            <w:tcW w:w="1497" w:type="dxa"/>
            <w:vAlign w:val="center"/>
          </w:tcPr>
          <w:p w14:paraId="3F7D70E1">
            <w:pPr>
              <w:jc w:val="center"/>
              <w:rPr>
                <w:sz w:val="18"/>
                <w:szCs w:val="18"/>
              </w:rPr>
            </w:pPr>
            <w:r>
              <w:rPr>
                <w:rFonts w:hint="eastAsia"/>
                <w:sz w:val="18"/>
                <w:szCs w:val="18"/>
              </w:rPr>
              <w:t>/</w:t>
            </w:r>
          </w:p>
        </w:tc>
        <w:tc>
          <w:tcPr>
            <w:tcW w:w="1763" w:type="dxa"/>
            <w:vAlign w:val="center"/>
          </w:tcPr>
          <w:p w14:paraId="5A6A6B2B">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5D47D4DC">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3F7EEF9D">
            <w:pPr>
              <w:jc w:val="center"/>
              <w:rPr>
                <w:rFonts w:hint="eastAsia" w:hAnsi="宋体" w:eastAsia="宋体" w:cs="宋体"/>
                <w:snapToGrid w:val="0"/>
                <w:color w:val="000000"/>
                <w:kern w:val="21"/>
                <w:sz w:val="18"/>
                <w:szCs w:val="18"/>
                <w:lang w:eastAsia="zh-CN"/>
              </w:rPr>
            </w:pPr>
            <w:r>
              <w:rPr>
                <w:rFonts w:hint="eastAsia" w:cs="Times New Roman"/>
                <w:color w:val="auto"/>
                <w:sz w:val="24"/>
                <w:szCs w:val="24"/>
                <w:highlight w:val="none"/>
                <w:lang w:val="en-US" w:eastAsia="zh-CN"/>
              </w:rPr>
              <w:t>***</w:t>
            </w:r>
          </w:p>
        </w:tc>
        <w:tc>
          <w:tcPr>
            <w:tcW w:w="1169" w:type="dxa"/>
            <w:vAlign w:val="center"/>
          </w:tcPr>
          <w:p w14:paraId="54565274">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5EA28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751BCF7">
            <w:pPr>
              <w:pStyle w:val="20"/>
              <w:spacing w:beforeLines="0" w:afterLines="0"/>
              <w:rPr>
                <w:rFonts w:hint="eastAsia" w:hAnsi="宋体" w:cs="宋体"/>
                <w:snapToGrid w:val="0"/>
                <w:color w:val="000000"/>
                <w:kern w:val="21"/>
                <w:sz w:val="18"/>
                <w:szCs w:val="18"/>
              </w:rPr>
            </w:pPr>
          </w:p>
        </w:tc>
        <w:tc>
          <w:tcPr>
            <w:tcW w:w="1582" w:type="dxa"/>
            <w:vAlign w:val="center"/>
          </w:tcPr>
          <w:p w14:paraId="20F9BF81">
            <w:pPr>
              <w:jc w:val="center"/>
              <w:rPr>
                <w:rFonts w:hint="eastAsia" w:hAnsi="宋体" w:cs="宋体"/>
                <w:snapToGrid w:val="0"/>
                <w:color w:val="000000"/>
                <w:kern w:val="21"/>
                <w:sz w:val="18"/>
                <w:szCs w:val="18"/>
              </w:rPr>
            </w:pPr>
            <w:r>
              <w:rPr>
                <w:rFonts w:hint="eastAsia" w:cs="Times New Roman"/>
                <w:sz w:val="18"/>
                <w:szCs w:val="18"/>
                <w:lang w:eastAsia="zh-CN"/>
              </w:rPr>
              <w:t>废滤芯</w:t>
            </w:r>
          </w:p>
        </w:tc>
        <w:tc>
          <w:tcPr>
            <w:tcW w:w="1536" w:type="dxa"/>
            <w:vAlign w:val="center"/>
          </w:tcPr>
          <w:p w14:paraId="21ED66CD">
            <w:pPr>
              <w:jc w:val="center"/>
              <w:rPr>
                <w:sz w:val="18"/>
                <w:szCs w:val="18"/>
              </w:rPr>
            </w:pPr>
            <w:r>
              <w:rPr>
                <w:rFonts w:hint="eastAsia"/>
                <w:sz w:val="18"/>
                <w:szCs w:val="18"/>
              </w:rPr>
              <w:t>0</w:t>
            </w:r>
          </w:p>
        </w:tc>
        <w:tc>
          <w:tcPr>
            <w:tcW w:w="1276" w:type="dxa"/>
            <w:vAlign w:val="center"/>
          </w:tcPr>
          <w:p w14:paraId="11FF95FB">
            <w:pPr>
              <w:jc w:val="center"/>
              <w:rPr>
                <w:sz w:val="18"/>
                <w:szCs w:val="18"/>
              </w:rPr>
            </w:pPr>
            <w:r>
              <w:rPr>
                <w:rFonts w:hint="eastAsia"/>
                <w:sz w:val="18"/>
                <w:szCs w:val="18"/>
              </w:rPr>
              <w:t>/</w:t>
            </w:r>
          </w:p>
        </w:tc>
        <w:tc>
          <w:tcPr>
            <w:tcW w:w="1497" w:type="dxa"/>
            <w:vAlign w:val="center"/>
          </w:tcPr>
          <w:p w14:paraId="76E64C88">
            <w:pPr>
              <w:jc w:val="center"/>
              <w:rPr>
                <w:sz w:val="18"/>
                <w:szCs w:val="18"/>
              </w:rPr>
            </w:pPr>
            <w:r>
              <w:rPr>
                <w:rFonts w:hint="eastAsia"/>
                <w:sz w:val="18"/>
                <w:szCs w:val="18"/>
              </w:rPr>
              <w:t>/</w:t>
            </w:r>
          </w:p>
        </w:tc>
        <w:tc>
          <w:tcPr>
            <w:tcW w:w="1763" w:type="dxa"/>
            <w:vAlign w:val="center"/>
          </w:tcPr>
          <w:p w14:paraId="3D6681D4">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30B3AD8D">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7160CEBB">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3E948AFC">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177A0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7D30A5F0">
            <w:pPr>
              <w:pStyle w:val="20"/>
              <w:spacing w:beforeLines="0" w:afterLines="0"/>
              <w:rPr>
                <w:rFonts w:hint="eastAsia" w:hAnsi="宋体" w:cs="宋体"/>
                <w:snapToGrid w:val="0"/>
                <w:color w:val="000000"/>
                <w:kern w:val="21"/>
                <w:sz w:val="18"/>
                <w:szCs w:val="18"/>
              </w:rPr>
            </w:pPr>
          </w:p>
        </w:tc>
        <w:tc>
          <w:tcPr>
            <w:tcW w:w="1582" w:type="dxa"/>
            <w:vAlign w:val="center"/>
          </w:tcPr>
          <w:p w14:paraId="03A44B1A">
            <w:pPr>
              <w:jc w:val="center"/>
              <w:rPr>
                <w:rFonts w:hint="eastAsia" w:eastAsia="宋体"/>
                <w:sz w:val="18"/>
                <w:szCs w:val="18"/>
                <w:lang w:eastAsia="zh-CN"/>
              </w:rPr>
            </w:pPr>
            <w:r>
              <w:rPr>
                <w:rFonts w:hint="default" w:ascii="Times New Roman" w:hAnsi="Times New Roman" w:cs="Times New Roman"/>
                <w:sz w:val="18"/>
                <w:szCs w:val="18"/>
              </w:rPr>
              <w:t>废靶材</w:t>
            </w:r>
          </w:p>
        </w:tc>
        <w:tc>
          <w:tcPr>
            <w:tcW w:w="1536" w:type="dxa"/>
            <w:vAlign w:val="center"/>
          </w:tcPr>
          <w:p w14:paraId="20FBB743">
            <w:pPr>
              <w:jc w:val="center"/>
              <w:rPr>
                <w:sz w:val="18"/>
                <w:szCs w:val="18"/>
              </w:rPr>
            </w:pPr>
            <w:r>
              <w:rPr>
                <w:rFonts w:hint="eastAsia"/>
                <w:sz w:val="18"/>
                <w:szCs w:val="18"/>
              </w:rPr>
              <w:t>0</w:t>
            </w:r>
          </w:p>
        </w:tc>
        <w:tc>
          <w:tcPr>
            <w:tcW w:w="1276" w:type="dxa"/>
            <w:vAlign w:val="center"/>
          </w:tcPr>
          <w:p w14:paraId="665C92AA">
            <w:pPr>
              <w:jc w:val="center"/>
              <w:rPr>
                <w:sz w:val="18"/>
                <w:szCs w:val="18"/>
              </w:rPr>
            </w:pPr>
            <w:r>
              <w:rPr>
                <w:rFonts w:hint="eastAsia"/>
                <w:sz w:val="18"/>
                <w:szCs w:val="18"/>
              </w:rPr>
              <w:t>/</w:t>
            </w:r>
          </w:p>
        </w:tc>
        <w:tc>
          <w:tcPr>
            <w:tcW w:w="1497" w:type="dxa"/>
            <w:vAlign w:val="center"/>
          </w:tcPr>
          <w:p w14:paraId="4A18C25B">
            <w:pPr>
              <w:jc w:val="center"/>
              <w:rPr>
                <w:sz w:val="18"/>
                <w:szCs w:val="18"/>
              </w:rPr>
            </w:pPr>
            <w:r>
              <w:rPr>
                <w:rFonts w:hint="eastAsia"/>
                <w:sz w:val="18"/>
                <w:szCs w:val="18"/>
              </w:rPr>
              <w:t>/</w:t>
            </w:r>
          </w:p>
        </w:tc>
        <w:tc>
          <w:tcPr>
            <w:tcW w:w="1763" w:type="dxa"/>
            <w:vAlign w:val="center"/>
          </w:tcPr>
          <w:p w14:paraId="47C6978E">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09FC9D95">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57C2B685">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24C8C026">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57EEE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1853CAE3">
            <w:pPr>
              <w:pStyle w:val="20"/>
              <w:spacing w:beforeLines="0" w:afterLines="0"/>
              <w:rPr>
                <w:rFonts w:hint="eastAsia" w:hAnsi="宋体" w:cs="宋体"/>
                <w:snapToGrid w:val="0"/>
                <w:color w:val="000000"/>
                <w:kern w:val="21"/>
                <w:sz w:val="18"/>
                <w:szCs w:val="18"/>
              </w:rPr>
            </w:pPr>
          </w:p>
        </w:tc>
        <w:tc>
          <w:tcPr>
            <w:tcW w:w="1582" w:type="dxa"/>
            <w:shd w:val="clear" w:color="auto" w:fill="auto"/>
            <w:vAlign w:val="center"/>
          </w:tcPr>
          <w:p w14:paraId="6EA1AD5D">
            <w:pPr>
              <w:jc w:val="center"/>
              <w:rPr>
                <w:rFonts w:hint="eastAsia" w:ascii="Times New Roman" w:hAnsi="宋体" w:eastAsia="宋体" w:cs="宋体"/>
                <w:snapToGrid w:val="0"/>
                <w:color w:val="000000"/>
                <w:kern w:val="21"/>
                <w:sz w:val="18"/>
                <w:szCs w:val="18"/>
                <w:lang w:val="en-US" w:eastAsia="zh-CN" w:bidi="ar-SA"/>
              </w:rPr>
            </w:pPr>
            <w:r>
              <w:rPr>
                <w:rFonts w:hint="eastAsia" w:cs="Times New Roman"/>
                <w:kern w:val="2"/>
                <w:sz w:val="18"/>
                <w:szCs w:val="18"/>
                <w:lang w:val="en-US" w:eastAsia="zh-CN" w:bidi="ar-SA"/>
              </w:rPr>
              <w:t>废反渗透膜</w:t>
            </w:r>
          </w:p>
        </w:tc>
        <w:tc>
          <w:tcPr>
            <w:tcW w:w="1536" w:type="dxa"/>
            <w:shd w:val="clear" w:color="auto" w:fill="auto"/>
            <w:vAlign w:val="center"/>
          </w:tcPr>
          <w:p w14:paraId="46E6D0AC">
            <w:pPr>
              <w:jc w:val="center"/>
              <w:rPr>
                <w:rFonts w:ascii="Times New Roman" w:hAnsi="Times New Roman" w:eastAsia="宋体" w:cs="Times New Roman"/>
                <w:kern w:val="2"/>
                <w:sz w:val="18"/>
                <w:szCs w:val="18"/>
                <w:lang w:val="en-US" w:eastAsia="zh-CN" w:bidi="ar-SA"/>
              </w:rPr>
            </w:pPr>
            <w:r>
              <w:rPr>
                <w:rFonts w:hint="eastAsia"/>
                <w:sz w:val="18"/>
                <w:szCs w:val="18"/>
              </w:rPr>
              <w:t>0</w:t>
            </w:r>
          </w:p>
        </w:tc>
        <w:tc>
          <w:tcPr>
            <w:tcW w:w="1276" w:type="dxa"/>
            <w:shd w:val="clear" w:color="auto" w:fill="auto"/>
            <w:vAlign w:val="center"/>
          </w:tcPr>
          <w:p w14:paraId="6D3F5DF5">
            <w:pPr>
              <w:jc w:val="center"/>
              <w:rPr>
                <w:rFonts w:ascii="Times New Roman" w:hAnsi="Times New Roman" w:eastAsia="宋体" w:cs="Times New Roman"/>
                <w:kern w:val="2"/>
                <w:sz w:val="18"/>
                <w:szCs w:val="18"/>
                <w:lang w:val="en-US" w:eastAsia="zh-CN" w:bidi="ar-SA"/>
              </w:rPr>
            </w:pPr>
            <w:r>
              <w:rPr>
                <w:rFonts w:hint="eastAsia"/>
                <w:sz w:val="18"/>
                <w:szCs w:val="18"/>
              </w:rPr>
              <w:t>/</w:t>
            </w:r>
          </w:p>
        </w:tc>
        <w:tc>
          <w:tcPr>
            <w:tcW w:w="1497" w:type="dxa"/>
            <w:shd w:val="clear" w:color="auto" w:fill="auto"/>
            <w:vAlign w:val="center"/>
          </w:tcPr>
          <w:p w14:paraId="785DF01F">
            <w:pPr>
              <w:jc w:val="center"/>
              <w:rPr>
                <w:rFonts w:ascii="Times New Roman" w:hAnsi="Times New Roman" w:eastAsia="宋体" w:cs="Times New Roman"/>
                <w:kern w:val="2"/>
                <w:sz w:val="18"/>
                <w:szCs w:val="18"/>
                <w:lang w:val="en-US" w:eastAsia="zh-CN" w:bidi="ar-SA"/>
              </w:rPr>
            </w:pPr>
            <w:r>
              <w:rPr>
                <w:rFonts w:hint="eastAsia"/>
                <w:sz w:val="18"/>
                <w:szCs w:val="18"/>
              </w:rPr>
              <w:t>/</w:t>
            </w:r>
          </w:p>
        </w:tc>
        <w:tc>
          <w:tcPr>
            <w:tcW w:w="1763" w:type="dxa"/>
            <w:shd w:val="clear" w:color="auto" w:fill="auto"/>
            <w:vAlign w:val="center"/>
          </w:tcPr>
          <w:p w14:paraId="483CA06A">
            <w:pPr>
              <w:jc w:val="center"/>
              <w:rPr>
                <w:rFonts w:hint="eastAsia" w:ascii="宋体" w:hAnsi="宋体" w:eastAsia="宋体" w:cs="宋体"/>
                <w:snapToGrid w:val="0"/>
                <w:color w:val="000000"/>
                <w:kern w:val="21"/>
                <w:sz w:val="18"/>
                <w:szCs w:val="18"/>
                <w:lang w:val="zh-CN" w:eastAsia="zh-CN" w:bidi="zh-CN"/>
              </w:rPr>
            </w:pPr>
            <w:r>
              <w:rPr>
                <w:rFonts w:hint="eastAsia" w:cs="Times New Roman"/>
                <w:color w:val="auto"/>
                <w:sz w:val="24"/>
                <w:szCs w:val="24"/>
                <w:highlight w:val="none"/>
                <w:lang w:val="en-US" w:eastAsia="zh-CN"/>
              </w:rPr>
              <w:t>***</w:t>
            </w:r>
          </w:p>
        </w:tc>
        <w:tc>
          <w:tcPr>
            <w:tcW w:w="1489" w:type="dxa"/>
            <w:shd w:val="clear" w:color="auto" w:fill="auto"/>
            <w:vAlign w:val="center"/>
          </w:tcPr>
          <w:p w14:paraId="76DDA9D2">
            <w:pPr>
              <w:jc w:val="center"/>
              <w:rPr>
                <w:rFonts w:hint="eastAsia" w:ascii="Times New Roman" w:hAnsi="宋体" w:eastAsia="宋体" w:cs="宋体"/>
                <w:snapToGrid w:val="0"/>
                <w:color w:val="000000"/>
                <w:kern w:val="21"/>
                <w:sz w:val="18"/>
                <w:szCs w:val="18"/>
                <w:lang w:val="en-US" w:eastAsia="zh-CN" w:bidi="ar-SA"/>
              </w:rPr>
            </w:pPr>
            <w:r>
              <w:rPr>
                <w:rFonts w:hint="eastAsia" w:cs="Times New Roman"/>
                <w:color w:val="auto"/>
                <w:sz w:val="24"/>
                <w:szCs w:val="24"/>
                <w:highlight w:val="none"/>
                <w:lang w:val="en-US" w:eastAsia="zh-CN"/>
              </w:rPr>
              <w:t>***</w:t>
            </w:r>
          </w:p>
        </w:tc>
        <w:tc>
          <w:tcPr>
            <w:tcW w:w="1888" w:type="dxa"/>
            <w:shd w:val="clear" w:color="auto" w:fill="auto"/>
            <w:vAlign w:val="center"/>
          </w:tcPr>
          <w:p w14:paraId="72D73CA8">
            <w:pPr>
              <w:jc w:val="center"/>
              <w:rPr>
                <w:rFonts w:hint="eastAsia" w:ascii="宋体" w:hAnsi="宋体" w:eastAsia="宋体" w:cs="宋体"/>
                <w:snapToGrid w:val="0"/>
                <w:color w:val="000000"/>
                <w:kern w:val="21"/>
                <w:sz w:val="18"/>
                <w:szCs w:val="18"/>
                <w:lang w:val="zh-CN" w:eastAsia="zh-CN" w:bidi="zh-CN"/>
              </w:rPr>
            </w:pPr>
            <w:r>
              <w:rPr>
                <w:rFonts w:hint="eastAsia" w:cs="Times New Roman"/>
                <w:color w:val="auto"/>
                <w:sz w:val="24"/>
                <w:szCs w:val="24"/>
                <w:highlight w:val="none"/>
                <w:lang w:val="en-US" w:eastAsia="zh-CN"/>
              </w:rPr>
              <w:t>***</w:t>
            </w:r>
          </w:p>
        </w:tc>
        <w:tc>
          <w:tcPr>
            <w:tcW w:w="1169" w:type="dxa"/>
            <w:shd w:val="clear" w:color="auto" w:fill="auto"/>
            <w:vAlign w:val="center"/>
          </w:tcPr>
          <w:p w14:paraId="05E9A4F8">
            <w:pPr>
              <w:jc w:val="center"/>
              <w:rPr>
                <w:rFonts w:hint="eastAsia" w:ascii="宋体" w:hAnsi="宋体" w:eastAsia="宋体" w:cs="宋体"/>
                <w:snapToGrid w:val="0"/>
                <w:color w:val="000000"/>
                <w:kern w:val="21"/>
                <w:sz w:val="18"/>
                <w:szCs w:val="18"/>
                <w:lang w:val="zh-CN" w:eastAsia="zh-CN" w:bidi="zh-CN"/>
              </w:rPr>
            </w:pPr>
            <w:r>
              <w:rPr>
                <w:rFonts w:hint="eastAsia" w:cs="Times New Roman"/>
                <w:color w:val="auto"/>
                <w:sz w:val="24"/>
                <w:szCs w:val="24"/>
                <w:highlight w:val="none"/>
                <w:lang w:val="en-US" w:eastAsia="zh-CN"/>
              </w:rPr>
              <w:t>***</w:t>
            </w:r>
          </w:p>
        </w:tc>
      </w:tr>
      <w:tr w14:paraId="4A294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88" w:type="dxa"/>
            <w:vMerge w:val="continue"/>
            <w:vAlign w:val="center"/>
          </w:tcPr>
          <w:p w14:paraId="57A5B6A2">
            <w:pPr>
              <w:pStyle w:val="20"/>
              <w:spacing w:beforeLines="0" w:afterLines="0"/>
              <w:rPr>
                <w:rFonts w:hint="eastAsia" w:hAnsi="宋体" w:cs="宋体"/>
                <w:snapToGrid w:val="0"/>
                <w:color w:val="000000"/>
                <w:kern w:val="21"/>
                <w:sz w:val="18"/>
                <w:szCs w:val="18"/>
              </w:rPr>
            </w:pPr>
          </w:p>
        </w:tc>
        <w:tc>
          <w:tcPr>
            <w:tcW w:w="1582" w:type="dxa"/>
            <w:vAlign w:val="center"/>
          </w:tcPr>
          <w:p w14:paraId="5BD59F87">
            <w:pPr>
              <w:jc w:val="center"/>
              <w:rPr>
                <w:rFonts w:hint="eastAsia" w:hAnsi="宋体" w:cs="宋体"/>
                <w:snapToGrid w:val="0"/>
                <w:color w:val="000000"/>
                <w:kern w:val="21"/>
                <w:sz w:val="18"/>
                <w:szCs w:val="18"/>
              </w:rPr>
            </w:pPr>
            <w:r>
              <w:rPr>
                <w:rFonts w:hint="default" w:ascii="Times New Roman" w:hAnsi="Times New Roman" w:cs="Times New Roman"/>
                <w:sz w:val="18"/>
                <w:szCs w:val="18"/>
                <w:lang w:val="en-US" w:eastAsia="zh-CN"/>
              </w:rPr>
              <w:t>报废品</w:t>
            </w:r>
          </w:p>
        </w:tc>
        <w:tc>
          <w:tcPr>
            <w:tcW w:w="1536" w:type="dxa"/>
            <w:vAlign w:val="center"/>
          </w:tcPr>
          <w:p w14:paraId="33CD4E5A">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743AC95F">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5C2A2A4A">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27D4DF2B">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289CDE3D">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5C1FF70E">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169" w:type="dxa"/>
            <w:vAlign w:val="center"/>
          </w:tcPr>
          <w:p w14:paraId="573F34F3">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71503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88" w:type="dxa"/>
            <w:vMerge w:val="continue"/>
            <w:vAlign w:val="center"/>
          </w:tcPr>
          <w:p w14:paraId="5C77EDF1">
            <w:pPr>
              <w:pStyle w:val="20"/>
              <w:spacing w:beforeLines="0" w:afterLines="0"/>
              <w:rPr>
                <w:rFonts w:hint="eastAsia" w:hAnsi="宋体" w:cs="宋体"/>
                <w:snapToGrid w:val="0"/>
                <w:color w:val="000000"/>
                <w:kern w:val="21"/>
                <w:sz w:val="18"/>
                <w:szCs w:val="18"/>
              </w:rPr>
            </w:pPr>
          </w:p>
        </w:tc>
        <w:tc>
          <w:tcPr>
            <w:tcW w:w="1582" w:type="dxa"/>
            <w:vAlign w:val="center"/>
          </w:tcPr>
          <w:p w14:paraId="389B6B8E">
            <w:pPr>
              <w:jc w:val="center"/>
              <w:rPr>
                <w:rFonts w:hint="eastAsia" w:hAnsi="宋体" w:cs="宋体"/>
                <w:snapToGrid w:val="0"/>
                <w:color w:val="000000"/>
                <w:kern w:val="21"/>
                <w:sz w:val="18"/>
                <w:szCs w:val="18"/>
              </w:rPr>
            </w:pPr>
            <w:r>
              <w:rPr>
                <w:rFonts w:hint="default" w:ascii="Times New Roman" w:hAnsi="Times New Roman" w:cs="Times New Roman"/>
                <w:sz w:val="18"/>
                <w:szCs w:val="18"/>
              </w:rPr>
              <w:t>废气处理设施废活性炭</w:t>
            </w:r>
          </w:p>
        </w:tc>
        <w:tc>
          <w:tcPr>
            <w:tcW w:w="1536" w:type="dxa"/>
            <w:vAlign w:val="center"/>
          </w:tcPr>
          <w:p w14:paraId="1874A235">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7D4CECF5">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24777931">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6901E241">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536834DC">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7E6465F9">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1A88D16C">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1284C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FFDDEAB">
            <w:pPr>
              <w:pStyle w:val="20"/>
              <w:spacing w:beforeLines="0" w:afterLines="0"/>
              <w:rPr>
                <w:rFonts w:hint="eastAsia" w:hAnsi="宋体" w:cs="宋体"/>
                <w:snapToGrid w:val="0"/>
                <w:color w:val="000000"/>
                <w:kern w:val="21"/>
                <w:sz w:val="18"/>
                <w:szCs w:val="18"/>
              </w:rPr>
            </w:pPr>
          </w:p>
        </w:tc>
        <w:tc>
          <w:tcPr>
            <w:tcW w:w="1582" w:type="dxa"/>
            <w:vAlign w:val="center"/>
          </w:tcPr>
          <w:p w14:paraId="08BCBC6B">
            <w:pPr>
              <w:jc w:val="center"/>
              <w:rPr>
                <w:rFonts w:hint="eastAsia" w:hAnsi="宋体" w:eastAsia="宋体" w:cs="宋体"/>
                <w:snapToGrid w:val="0"/>
                <w:color w:val="000000"/>
                <w:kern w:val="21"/>
                <w:sz w:val="18"/>
                <w:szCs w:val="18"/>
                <w:lang w:eastAsia="zh-CN"/>
              </w:rPr>
            </w:pPr>
            <w:r>
              <w:rPr>
                <w:rFonts w:hint="default" w:ascii="Times New Roman" w:hAnsi="Times New Roman" w:cs="Times New Roman"/>
                <w:sz w:val="18"/>
                <w:szCs w:val="18"/>
              </w:rPr>
              <w:t>清洗废液</w:t>
            </w:r>
          </w:p>
        </w:tc>
        <w:tc>
          <w:tcPr>
            <w:tcW w:w="1536" w:type="dxa"/>
            <w:vAlign w:val="center"/>
          </w:tcPr>
          <w:p w14:paraId="51851E37">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5F738549">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045B5901">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5DC63B5E">
            <w:pPr>
              <w:jc w:val="center"/>
              <w:rPr>
                <w:rFonts w:hint="default" w:hAnsi="宋体" w:eastAsia="宋体" w:cs="宋体"/>
                <w:snapToGrid w:val="0"/>
                <w:color w:val="000000"/>
                <w:kern w:val="21"/>
                <w:sz w:val="18"/>
                <w:szCs w:val="18"/>
                <w:lang w:val="en-US" w:eastAsia="zh-CN"/>
              </w:rPr>
            </w:pPr>
            <w:r>
              <w:rPr>
                <w:rFonts w:hint="eastAsia" w:cs="Times New Roman"/>
                <w:color w:val="auto"/>
                <w:sz w:val="24"/>
                <w:szCs w:val="24"/>
                <w:highlight w:val="none"/>
                <w:lang w:val="en-US" w:eastAsia="zh-CN"/>
              </w:rPr>
              <w:t>***</w:t>
            </w:r>
          </w:p>
        </w:tc>
        <w:tc>
          <w:tcPr>
            <w:tcW w:w="1489" w:type="dxa"/>
            <w:vAlign w:val="center"/>
          </w:tcPr>
          <w:p w14:paraId="241C589F">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25501639">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18E2CFBA">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79CD7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FA7EC35">
            <w:pPr>
              <w:pStyle w:val="20"/>
              <w:spacing w:beforeLines="0" w:afterLines="0"/>
              <w:rPr>
                <w:rFonts w:hint="eastAsia" w:hAnsi="宋体" w:cs="宋体"/>
                <w:snapToGrid w:val="0"/>
                <w:color w:val="000000"/>
                <w:kern w:val="21"/>
                <w:sz w:val="18"/>
                <w:szCs w:val="18"/>
              </w:rPr>
            </w:pPr>
          </w:p>
        </w:tc>
        <w:tc>
          <w:tcPr>
            <w:tcW w:w="1582" w:type="dxa"/>
            <w:vAlign w:val="center"/>
          </w:tcPr>
          <w:p w14:paraId="226CC22A">
            <w:pPr>
              <w:jc w:val="center"/>
              <w:rPr>
                <w:rFonts w:hint="eastAsia" w:hAnsi="宋体" w:eastAsia="宋体" w:cs="宋体"/>
                <w:snapToGrid w:val="0"/>
                <w:color w:val="000000"/>
                <w:kern w:val="21"/>
                <w:sz w:val="18"/>
                <w:szCs w:val="18"/>
                <w:lang w:eastAsia="zh-CN"/>
              </w:rPr>
            </w:pPr>
            <w:r>
              <w:rPr>
                <w:rFonts w:hint="eastAsia" w:cs="Times New Roman"/>
                <w:sz w:val="18"/>
                <w:szCs w:val="18"/>
                <w:lang w:eastAsia="zh-CN"/>
              </w:rPr>
              <w:t>废擦拭乙醇</w:t>
            </w:r>
          </w:p>
        </w:tc>
        <w:tc>
          <w:tcPr>
            <w:tcW w:w="1536" w:type="dxa"/>
            <w:vAlign w:val="center"/>
          </w:tcPr>
          <w:p w14:paraId="6316E3B2">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207357DE">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0B62109B">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56137976">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3D8D7AFE">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471B7E50">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2999F377">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2CCD3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7F236516">
            <w:pPr>
              <w:pStyle w:val="20"/>
              <w:spacing w:beforeLines="0" w:afterLines="0"/>
              <w:rPr>
                <w:rFonts w:hint="eastAsia" w:hAnsi="宋体" w:cs="宋体"/>
                <w:snapToGrid w:val="0"/>
                <w:color w:val="000000"/>
                <w:kern w:val="21"/>
                <w:sz w:val="18"/>
                <w:szCs w:val="18"/>
              </w:rPr>
            </w:pPr>
          </w:p>
        </w:tc>
        <w:tc>
          <w:tcPr>
            <w:tcW w:w="1582" w:type="dxa"/>
            <w:vAlign w:val="center"/>
          </w:tcPr>
          <w:p w14:paraId="07A534C2">
            <w:pPr>
              <w:jc w:val="center"/>
              <w:rPr>
                <w:sz w:val="18"/>
                <w:szCs w:val="18"/>
              </w:rPr>
            </w:pPr>
            <w:r>
              <w:rPr>
                <w:rFonts w:hint="default" w:ascii="Times New Roman" w:hAnsi="Times New Roman" w:cs="Times New Roman"/>
                <w:sz w:val="18"/>
                <w:szCs w:val="18"/>
              </w:rPr>
              <w:t>实验配液间废一次性器具及防护用品</w:t>
            </w:r>
          </w:p>
        </w:tc>
        <w:tc>
          <w:tcPr>
            <w:tcW w:w="1536" w:type="dxa"/>
            <w:vAlign w:val="center"/>
          </w:tcPr>
          <w:p w14:paraId="446D35E2">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40B4D1E0">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0B5392F3">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59C14F39">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4A16E027">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36F75DA1">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43349E95">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00D7A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65B11A33">
            <w:pPr>
              <w:pStyle w:val="20"/>
              <w:spacing w:beforeLines="0" w:afterLines="0"/>
              <w:rPr>
                <w:rFonts w:hint="eastAsia" w:hAnsi="宋体" w:cs="宋体"/>
                <w:snapToGrid w:val="0"/>
                <w:color w:val="000000"/>
                <w:kern w:val="21"/>
                <w:sz w:val="18"/>
                <w:szCs w:val="18"/>
              </w:rPr>
            </w:pPr>
          </w:p>
        </w:tc>
        <w:tc>
          <w:tcPr>
            <w:tcW w:w="1582" w:type="dxa"/>
            <w:vAlign w:val="center"/>
          </w:tcPr>
          <w:p w14:paraId="6235F957">
            <w:pPr>
              <w:jc w:val="center"/>
              <w:rPr>
                <w:rFonts w:hint="eastAsia" w:eastAsia="宋体"/>
                <w:sz w:val="18"/>
                <w:szCs w:val="18"/>
                <w:lang w:eastAsia="zh-CN"/>
              </w:rPr>
            </w:pPr>
            <w:r>
              <w:rPr>
                <w:rFonts w:hint="default" w:ascii="Times New Roman" w:hAnsi="Times New Roman" w:cs="Times New Roman"/>
                <w:sz w:val="18"/>
                <w:szCs w:val="18"/>
              </w:rPr>
              <w:t>废涂布溶液</w:t>
            </w:r>
          </w:p>
        </w:tc>
        <w:tc>
          <w:tcPr>
            <w:tcW w:w="1536" w:type="dxa"/>
            <w:vAlign w:val="center"/>
          </w:tcPr>
          <w:p w14:paraId="5C613F9E">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741CA013">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7AEB3AEB">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32DF0C55">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5C6D36F7">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63A3EFA6">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3EBD6BC2">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2186C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56FAFF0">
            <w:pPr>
              <w:pStyle w:val="20"/>
              <w:spacing w:beforeLines="0" w:afterLines="0"/>
              <w:rPr>
                <w:rFonts w:hint="eastAsia" w:hAnsi="宋体" w:cs="宋体"/>
                <w:snapToGrid w:val="0"/>
                <w:color w:val="000000"/>
                <w:kern w:val="21"/>
                <w:sz w:val="18"/>
                <w:szCs w:val="18"/>
              </w:rPr>
            </w:pPr>
          </w:p>
        </w:tc>
        <w:tc>
          <w:tcPr>
            <w:tcW w:w="1582" w:type="dxa"/>
            <w:vAlign w:val="center"/>
          </w:tcPr>
          <w:p w14:paraId="663939D1">
            <w:pPr>
              <w:jc w:val="center"/>
              <w:rPr>
                <w:sz w:val="18"/>
                <w:szCs w:val="18"/>
              </w:rPr>
            </w:pPr>
            <w:r>
              <w:rPr>
                <w:rFonts w:hint="default" w:ascii="Times New Roman" w:hAnsi="Times New Roman" w:cs="Times New Roman"/>
                <w:sz w:val="18"/>
                <w:szCs w:val="18"/>
              </w:rPr>
              <w:t>化学品废包装材料</w:t>
            </w:r>
          </w:p>
        </w:tc>
        <w:tc>
          <w:tcPr>
            <w:tcW w:w="1536" w:type="dxa"/>
            <w:vAlign w:val="center"/>
          </w:tcPr>
          <w:p w14:paraId="29D64CBE">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158B6760">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6CC8C6BF">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52D04BCE">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67AB9A90">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67A66B82">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218FBF54">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5F908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1AAAB47">
            <w:pPr>
              <w:pStyle w:val="20"/>
              <w:spacing w:beforeLines="0" w:afterLines="0"/>
              <w:rPr>
                <w:rFonts w:hint="eastAsia" w:hAnsi="宋体" w:cs="宋体"/>
                <w:snapToGrid w:val="0"/>
                <w:color w:val="000000"/>
                <w:kern w:val="21"/>
                <w:sz w:val="18"/>
                <w:szCs w:val="18"/>
              </w:rPr>
            </w:pPr>
          </w:p>
        </w:tc>
        <w:tc>
          <w:tcPr>
            <w:tcW w:w="1582" w:type="dxa"/>
            <w:vAlign w:val="center"/>
          </w:tcPr>
          <w:p w14:paraId="15503F37">
            <w:pPr>
              <w:jc w:val="center"/>
              <w:rPr>
                <w:rFonts w:hint="default" w:eastAsia="宋体"/>
                <w:sz w:val="18"/>
                <w:szCs w:val="18"/>
                <w:lang w:val="en-US" w:eastAsia="zh-CN"/>
              </w:rPr>
            </w:pPr>
            <w:r>
              <w:rPr>
                <w:rFonts w:hint="eastAsia" w:cs="Times New Roman"/>
                <w:kern w:val="2"/>
                <w:sz w:val="18"/>
                <w:szCs w:val="18"/>
                <w:lang w:val="en-US" w:eastAsia="zh-CN" w:bidi="ar-SA"/>
              </w:rPr>
              <w:t>废润滑油</w:t>
            </w:r>
          </w:p>
        </w:tc>
        <w:tc>
          <w:tcPr>
            <w:tcW w:w="1536" w:type="dxa"/>
            <w:vAlign w:val="center"/>
          </w:tcPr>
          <w:p w14:paraId="0F3EC7C6">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5643AC77">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118076BD">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209DAB02">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448E0FC8">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59BEED2C">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1BE1A70A">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r w14:paraId="3CE7E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6E03CB5F">
            <w:pPr>
              <w:pStyle w:val="20"/>
              <w:spacing w:beforeLines="0" w:afterLines="0"/>
              <w:rPr>
                <w:rFonts w:hint="eastAsia" w:hAnsi="宋体" w:cs="宋体"/>
                <w:snapToGrid w:val="0"/>
                <w:color w:val="000000"/>
                <w:kern w:val="21"/>
                <w:sz w:val="18"/>
                <w:szCs w:val="18"/>
              </w:rPr>
            </w:pPr>
          </w:p>
        </w:tc>
        <w:tc>
          <w:tcPr>
            <w:tcW w:w="1582" w:type="dxa"/>
            <w:shd w:val="clear" w:color="auto" w:fill="auto"/>
            <w:vAlign w:val="center"/>
          </w:tcPr>
          <w:p w14:paraId="5BFA0A44">
            <w:pPr>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eastAsia="zh-CN"/>
              </w:rPr>
              <w:t>激光划线粉尘</w:t>
            </w:r>
          </w:p>
        </w:tc>
        <w:tc>
          <w:tcPr>
            <w:tcW w:w="1536" w:type="dxa"/>
            <w:shd w:val="clear" w:color="auto" w:fill="auto"/>
            <w:vAlign w:val="center"/>
          </w:tcPr>
          <w:p w14:paraId="463E13A1">
            <w:pPr>
              <w:jc w:val="center"/>
              <w:rPr>
                <w:rFonts w:hint="eastAsia" w:ascii="Times New Roman" w:hAnsi="Times New Roman" w:eastAsia="宋体" w:cs="Times New Roman"/>
                <w:kern w:val="2"/>
                <w:sz w:val="18"/>
                <w:szCs w:val="18"/>
                <w:lang w:val="en-US" w:eastAsia="zh-CN" w:bidi="ar-SA"/>
              </w:rPr>
            </w:pPr>
            <w:r>
              <w:rPr>
                <w:rFonts w:hint="eastAsia"/>
                <w:sz w:val="18"/>
                <w:szCs w:val="18"/>
              </w:rPr>
              <w:t>0</w:t>
            </w:r>
          </w:p>
        </w:tc>
        <w:tc>
          <w:tcPr>
            <w:tcW w:w="1276" w:type="dxa"/>
            <w:shd w:val="clear" w:color="auto" w:fill="auto"/>
            <w:vAlign w:val="center"/>
          </w:tcPr>
          <w:p w14:paraId="3A22EE8E">
            <w:pPr>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497" w:type="dxa"/>
            <w:shd w:val="clear" w:color="auto" w:fill="auto"/>
            <w:vAlign w:val="center"/>
          </w:tcPr>
          <w:p w14:paraId="721F338B">
            <w:pPr>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763" w:type="dxa"/>
            <w:shd w:val="clear" w:color="auto" w:fill="auto"/>
            <w:vAlign w:val="center"/>
          </w:tcPr>
          <w:p w14:paraId="7D2EC99A">
            <w:pPr>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489" w:type="dxa"/>
            <w:shd w:val="clear" w:color="auto" w:fill="auto"/>
            <w:vAlign w:val="center"/>
          </w:tcPr>
          <w:p w14:paraId="2B6F4866">
            <w:pPr>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888" w:type="dxa"/>
            <w:shd w:val="clear" w:color="auto" w:fill="auto"/>
            <w:vAlign w:val="center"/>
          </w:tcPr>
          <w:p w14:paraId="58986245">
            <w:pPr>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169" w:type="dxa"/>
            <w:shd w:val="clear" w:color="auto" w:fill="auto"/>
            <w:vAlign w:val="center"/>
          </w:tcPr>
          <w:p w14:paraId="007F7363">
            <w:pPr>
              <w:jc w:val="center"/>
              <w:rPr>
                <w:rFonts w:hint="eastAsia"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w:t>
            </w:r>
          </w:p>
        </w:tc>
      </w:tr>
      <w:tr w14:paraId="24F2B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14:paraId="0BE5FE41">
            <w:pPr>
              <w:pStyle w:val="20"/>
              <w:spacing w:beforeLines="0" w:afterLines="0"/>
              <w:rPr>
                <w:rFonts w:hint="eastAsia" w:hAnsi="宋体" w:cs="宋体"/>
                <w:snapToGrid w:val="0"/>
                <w:color w:val="000000"/>
                <w:kern w:val="21"/>
                <w:sz w:val="18"/>
                <w:szCs w:val="18"/>
              </w:rPr>
            </w:pPr>
            <w:r>
              <w:rPr>
                <w:rFonts w:hint="eastAsia" w:hAnsi="宋体" w:cs="宋体"/>
                <w:snapToGrid w:val="0"/>
                <w:color w:val="000000"/>
                <w:kern w:val="21"/>
                <w:sz w:val="18"/>
                <w:szCs w:val="18"/>
              </w:rPr>
              <w:t>生活垃圾</w:t>
            </w:r>
          </w:p>
        </w:tc>
        <w:tc>
          <w:tcPr>
            <w:tcW w:w="1582" w:type="dxa"/>
            <w:vAlign w:val="center"/>
          </w:tcPr>
          <w:p w14:paraId="387CB620">
            <w:pPr>
              <w:jc w:val="center"/>
              <w:rPr>
                <w:sz w:val="18"/>
                <w:szCs w:val="18"/>
              </w:rPr>
            </w:pPr>
            <w:r>
              <w:rPr>
                <w:rFonts w:hint="default" w:ascii="Times New Roman" w:hAnsi="Times New Roman" w:cs="Times New Roman"/>
                <w:sz w:val="18"/>
                <w:szCs w:val="18"/>
              </w:rPr>
              <w:t>生活垃圾</w:t>
            </w:r>
          </w:p>
        </w:tc>
        <w:tc>
          <w:tcPr>
            <w:tcW w:w="1536" w:type="dxa"/>
            <w:vAlign w:val="center"/>
          </w:tcPr>
          <w:p w14:paraId="00C7FAF5">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0</w:t>
            </w:r>
          </w:p>
        </w:tc>
        <w:tc>
          <w:tcPr>
            <w:tcW w:w="1276" w:type="dxa"/>
            <w:vAlign w:val="center"/>
          </w:tcPr>
          <w:p w14:paraId="23D4C418">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497" w:type="dxa"/>
            <w:vAlign w:val="center"/>
          </w:tcPr>
          <w:p w14:paraId="12B79279">
            <w:pPr>
              <w:jc w:val="center"/>
              <w:rPr>
                <w:rFonts w:hint="eastAsia" w:hAnsi="宋体" w:cs="宋体"/>
                <w:snapToGrid w:val="0"/>
                <w:color w:val="000000"/>
                <w:kern w:val="21"/>
                <w:sz w:val="18"/>
                <w:szCs w:val="18"/>
              </w:rPr>
            </w:pPr>
            <w:r>
              <w:rPr>
                <w:rFonts w:hint="eastAsia" w:hAnsi="宋体" w:cs="宋体"/>
                <w:snapToGrid w:val="0"/>
                <w:color w:val="000000"/>
                <w:kern w:val="21"/>
                <w:sz w:val="18"/>
                <w:szCs w:val="18"/>
              </w:rPr>
              <w:t>/</w:t>
            </w:r>
          </w:p>
        </w:tc>
        <w:tc>
          <w:tcPr>
            <w:tcW w:w="1763" w:type="dxa"/>
            <w:vAlign w:val="center"/>
          </w:tcPr>
          <w:p w14:paraId="2D4D2B8D">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489" w:type="dxa"/>
            <w:vAlign w:val="center"/>
          </w:tcPr>
          <w:p w14:paraId="5A457CBF">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888" w:type="dxa"/>
            <w:vAlign w:val="center"/>
          </w:tcPr>
          <w:p w14:paraId="418C7118">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c>
          <w:tcPr>
            <w:tcW w:w="1169" w:type="dxa"/>
            <w:vAlign w:val="center"/>
          </w:tcPr>
          <w:p w14:paraId="76BD748A">
            <w:pPr>
              <w:jc w:val="center"/>
              <w:rPr>
                <w:rFonts w:hint="eastAsia" w:hAnsi="宋体" w:cs="宋体"/>
                <w:snapToGrid w:val="0"/>
                <w:color w:val="000000"/>
                <w:kern w:val="21"/>
                <w:sz w:val="18"/>
                <w:szCs w:val="18"/>
              </w:rPr>
            </w:pPr>
            <w:r>
              <w:rPr>
                <w:rFonts w:hint="eastAsia" w:cs="Times New Roman"/>
                <w:color w:val="auto"/>
                <w:sz w:val="24"/>
                <w:szCs w:val="24"/>
                <w:highlight w:val="none"/>
                <w:lang w:val="en-US" w:eastAsia="zh-CN"/>
              </w:rPr>
              <w:t>***</w:t>
            </w:r>
          </w:p>
        </w:tc>
      </w:tr>
    </w:tbl>
    <w:p w14:paraId="538F3205">
      <w:pPr>
        <w:pStyle w:val="20"/>
        <w:spacing w:before="192" w:beforeLines="80" w:after="24"/>
        <w:jc w:val="left"/>
        <w:rPr>
          <w:rFonts w:hint="eastAsia" w:hAnsi="宋体"/>
          <w:snapToGrid w:val="0"/>
          <w:spacing w:val="-6"/>
          <w:kern w:val="21"/>
          <w:szCs w:val="21"/>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w:instrText>
      </w:r>
      <w:bookmarkEnd w:id="42"/>
      <w:bookmarkEnd w:id="43"/>
      <w:r>
        <w:rPr>
          <w:rFonts w:hAnsi="宋体"/>
          <w:snapToGrid w:val="0"/>
          <w:spacing w:val="-16"/>
          <w:kern w:val="21"/>
          <w:szCs w:val="21"/>
        </w:rPr>
        <w:instrText xml:space="preserve">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p w14:paraId="198BD5AD">
      <w:r>
        <w:rPr>
          <w:rFonts w:hint="eastAsia"/>
        </w:rPr>
        <w:t>单位：t/a</w:t>
      </w:r>
    </w:p>
    <w:p w14:paraId="1A25697E"/>
    <w:p w14:paraId="64ACB9A0"/>
    <w:p w14:paraId="7DE3F2D3"/>
    <w:p w14:paraId="0D27842D">
      <w:r>
        <w:rPr>
          <w:rFonts w:hint="eastAsia"/>
        </w:rPr>
        <w:br w:type="page"/>
      </w:r>
    </w:p>
    <w:p w14:paraId="694E8007"/>
    <w:p w14:paraId="1137F742">
      <w:pPr>
        <w:adjustRightInd w:val="0"/>
        <w:snapToGrid w:val="0"/>
        <w:spacing w:line="360" w:lineRule="auto"/>
        <w:jc w:val="left"/>
        <w:outlineLvl w:val="0"/>
        <w:rPr>
          <w:rFonts w:hint="eastAsia" w:ascii="宋体" w:hAnsi="宋体" w:cs="宋体"/>
          <w:b/>
          <w:bCs/>
          <w:sz w:val="24"/>
        </w:rPr>
      </w:pPr>
      <w:bookmarkStart w:id="44" w:name="_Toc7305"/>
      <w:r>
        <w:rPr>
          <w:rFonts w:hint="eastAsia" w:ascii="宋体" w:hAnsi="宋体" w:cs="宋体"/>
          <w:b/>
          <w:bCs/>
          <w:sz w:val="24"/>
        </w:rPr>
        <w:t>附图和附件</w:t>
      </w:r>
      <w:bookmarkEnd w:id="44"/>
    </w:p>
    <w:p w14:paraId="243F3E3D"/>
    <w:p w14:paraId="4D98DAE7">
      <w:pPr>
        <w:adjustRightInd w:val="0"/>
        <w:snapToGrid w:val="0"/>
        <w:spacing w:line="360" w:lineRule="auto"/>
        <w:ind w:firstLine="480" w:firstLineChars="200"/>
        <w:jc w:val="left"/>
        <w:rPr>
          <w:rFonts w:hint="eastAsia" w:ascii="宋体" w:hAnsi="宋体" w:cs="宋体"/>
          <w:sz w:val="24"/>
        </w:rPr>
      </w:pPr>
      <w:bookmarkStart w:id="45" w:name="_Toc31694"/>
      <w:bookmarkStart w:id="46" w:name="_Toc5279"/>
      <w:r>
        <w:rPr>
          <w:rFonts w:hint="eastAsia" w:ascii="宋体" w:hAnsi="宋体" w:cs="宋体"/>
          <w:sz w:val="24"/>
        </w:rPr>
        <w:t xml:space="preserve">附件1   </w:t>
      </w:r>
      <w:r>
        <w:rPr>
          <w:rFonts w:hint="eastAsia" w:ascii="宋体" w:hAnsi="宋体" w:cs="宋体"/>
          <w:sz w:val="24"/>
          <w:lang w:val="en-US" w:eastAsia="zh-CN"/>
        </w:rPr>
        <w:t>环评</w:t>
      </w:r>
      <w:r>
        <w:rPr>
          <w:rFonts w:hint="eastAsia" w:ascii="宋体" w:hAnsi="宋体" w:cs="宋体"/>
          <w:sz w:val="24"/>
        </w:rPr>
        <w:t>委托书</w:t>
      </w:r>
      <w:bookmarkEnd w:id="45"/>
      <w:bookmarkEnd w:id="46"/>
      <w:bookmarkStart w:id="47" w:name="_Toc30981"/>
      <w:bookmarkStart w:id="48" w:name="_Toc24686"/>
    </w:p>
    <w:p w14:paraId="51614DBA">
      <w:pPr>
        <w:adjustRightInd w:val="0"/>
        <w:snapToGrid w:val="0"/>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附件2</w:t>
      </w:r>
      <w:r>
        <w:rPr>
          <w:rFonts w:hint="eastAsia" w:ascii="宋体" w:hAnsi="宋体" w:cs="宋体"/>
          <w:sz w:val="24"/>
          <w:lang w:val="en-US" w:eastAsia="zh-CN"/>
        </w:rPr>
        <w:t xml:space="preserve">   资料真实承诺书</w:t>
      </w:r>
    </w:p>
    <w:p w14:paraId="43EA714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附件3   </w:t>
      </w:r>
      <w:bookmarkEnd w:id="47"/>
      <w:bookmarkEnd w:id="48"/>
      <w:r>
        <w:rPr>
          <w:rFonts w:hint="eastAsia" w:ascii="宋体" w:hAnsi="宋体" w:cs="宋体"/>
          <w:sz w:val="24"/>
        </w:rPr>
        <w:t>营业执照</w:t>
      </w:r>
      <w:r>
        <w:rPr>
          <w:rFonts w:hint="eastAsia" w:ascii="宋体" w:hAnsi="宋体" w:cs="宋体"/>
          <w:sz w:val="24"/>
          <w:lang w:val="en-US" w:eastAsia="zh-CN"/>
        </w:rPr>
        <w:t>及</w:t>
      </w:r>
      <w:r>
        <w:rPr>
          <w:rFonts w:hint="eastAsia" w:ascii="宋体" w:hAnsi="宋体" w:cs="宋体"/>
          <w:sz w:val="24"/>
        </w:rPr>
        <w:t>法人身份证</w:t>
      </w:r>
    </w:p>
    <w:p w14:paraId="7B1A0112">
      <w:pPr>
        <w:adjustRightInd w:val="0"/>
        <w:snapToGrid w:val="0"/>
        <w:spacing w:line="360" w:lineRule="auto"/>
        <w:ind w:firstLine="480" w:firstLineChars="200"/>
        <w:jc w:val="left"/>
        <w:rPr>
          <w:rFonts w:hint="eastAsia" w:ascii="宋体" w:hAnsi="宋体" w:eastAsia="宋体" w:cs="宋体"/>
          <w:sz w:val="24"/>
          <w:lang w:val="en-US" w:eastAsia="zh-CN"/>
        </w:rPr>
      </w:pPr>
      <w:bookmarkStart w:id="49" w:name="_Toc20413"/>
      <w:bookmarkStart w:id="50" w:name="_Toc5121"/>
      <w:r>
        <w:rPr>
          <w:rFonts w:hint="eastAsia" w:ascii="宋体" w:hAnsi="宋体" w:cs="宋体"/>
          <w:sz w:val="24"/>
        </w:rPr>
        <w:t>附件4   立项备案</w:t>
      </w:r>
      <w:bookmarkEnd w:id="49"/>
      <w:bookmarkEnd w:id="50"/>
      <w:bookmarkStart w:id="51" w:name="_Toc16456"/>
      <w:bookmarkStart w:id="52" w:name="_Toc8219"/>
      <w:r>
        <w:rPr>
          <w:rFonts w:hint="eastAsia" w:ascii="宋体" w:hAnsi="宋体" w:cs="宋体"/>
          <w:sz w:val="24"/>
          <w:lang w:val="en-US" w:eastAsia="zh-CN"/>
        </w:rPr>
        <w:t>证</w:t>
      </w:r>
    </w:p>
    <w:p w14:paraId="1625A85A">
      <w:pPr>
        <w:adjustRightInd w:val="0"/>
        <w:snapToGrid w:val="0"/>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 xml:space="preserve">附件5   </w:t>
      </w:r>
      <w:bookmarkEnd w:id="51"/>
      <w:bookmarkEnd w:id="52"/>
      <w:r>
        <w:rPr>
          <w:rFonts w:hint="eastAsia" w:ascii="宋体" w:hAnsi="宋体" w:cs="宋体"/>
          <w:sz w:val="24"/>
        </w:rPr>
        <w:t>租赁</w:t>
      </w:r>
      <w:r>
        <w:rPr>
          <w:rFonts w:hint="eastAsia" w:ascii="宋体" w:hAnsi="宋体" w:cs="宋体"/>
          <w:sz w:val="24"/>
          <w:lang w:val="en-US" w:eastAsia="zh-CN"/>
        </w:rPr>
        <w:t>说明和</w:t>
      </w:r>
      <w:r>
        <w:rPr>
          <w:rFonts w:hint="eastAsia" w:ascii="宋体" w:hAnsi="宋体" w:cs="宋体"/>
          <w:sz w:val="24"/>
        </w:rPr>
        <w:t>环保责任主体承诺</w:t>
      </w:r>
      <w:r>
        <w:rPr>
          <w:rFonts w:hint="eastAsia" w:ascii="宋体" w:hAnsi="宋体" w:cs="宋体"/>
          <w:sz w:val="24"/>
          <w:lang w:val="en-US" w:eastAsia="zh-CN"/>
        </w:rPr>
        <w:t>书</w:t>
      </w:r>
    </w:p>
    <w:p w14:paraId="25E7650C">
      <w:pPr>
        <w:adjustRightInd w:val="0"/>
        <w:snapToGrid w:val="0"/>
        <w:spacing w:line="360" w:lineRule="auto"/>
        <w:ind w:firstLine="480" w:firstLineChars="200"/>
        <w:jc w:val="left"/>
        <w:rPr>
          <w:rFonts w:hint="default" w:eastAsia="宋体"/>
          <w:sz w:val="24"/>
          <w:lang w:val="en-US" w:eastAsia="zh-CN"/>
        </w:rPr>
      </w:pPr>
      <w:r>
        <w:rPr>
          <w:rFonts w:hint="eastAsia" w:ascii="宋体" w:hAnsi="宋体" w:cs="宋体"/>
          <w:sz w:val="24"/>
        </w:rPr>
        <w:t>附件</w:t>
      </w:r>
      <w:r>
        <w:rPr>
          <w:rFonts w:hint="eastAsia" w:ascii="宋体" w:hAnsi="宋体" w:cs="宋体"/>
          <w:sz w:val="24"/>
          <w:lang w:val="en-US" w:eastAsia="zh-CN"/>
        </w:rPr>
        <w:t>6</w:t>
      </w:r>
      <w:r>
        <w:rPr>
          <w:rFonts w:hint="eastAsia" w:ascii="宋体" w:hAnsi="宋体" w:cs="宋体"/>
          <w:sz w:val="24"/>
        </w:rPr>
        <w:t xml:space="preserve">   </w:t>
      </w:r>
      <w:r>
        <w:rPr>
          <w:rFonts w:hint="eastAsia"/>
          <w:sz w:val="24"/>
          <w:lang w:val="en-US" w:eastAsia="zh-CN"/>
        </w:rPr>
        <w:t>租赁用地土地证明</w:t>
      </w:r>
    </w:p>
    <w:p w14:paraId="238F697D">
      <w:pPr>
        <w:adjustRightInd w:val="0"/>
        <w:snapToGrid w:val="0"/>
        <w:spacing w:line="360" w:lineRule="auto"/>
        <w:ind w:firstLine="480" w:firstLineChars="200"/>
        <w:jc w:val="left"/>
        <w:rPr>
          <w:sz w:val="24"/>
        </w:rPr>
      </w:pPr>
      <w:bookmarkStart w:id="53" w:name="_Toc29953"/>
      <w:bookmarkStart w:id="54" w:name="_Toc25110"/>
      <w:r>
        <w:rPr>
          <w:rFonts w:hint="eastAsia" w:ascii="宋体" w:hAnsi="宋体" w:cs="宋体"/>
          <w:sz w:val="24"/>
        </w:rPr>
        <w:t>附件</w:t>
      </w:r>
      <w:r>
        <w:rPr>
          <w:rFonts w:hint="eastAsia" w:ascii="宋体" w:hAnsi="宋体" w:cs="宋体"/>
          <w:sz w:val="24"/>
          <w:lang w:val="en-US" w:eastAsia="zh-CN"/>
        </w:rPr>
        <w:t>7</w:t>
      </w:r>
      <w:r>
        <w:rPr>
          <w:rFonts w:hint="eastAsia" w:ascii="宋体" w:hAnsi="宋体" w:cs="宋体"/>
          <w:sz w:val="24"/>
        </w:rPr>
        <w:t xml:space="preserve">   </w:t>
      </w:r>
      <w:bookmarkEnd w:id="53"/>
      <w:bookmarkEnd w:id="54"/>
      <w:r>
        <w:rPr>
          <w:rFonts w:hint="eastAsia"/>
          <w:sz w:val="24"/>
        </w:rPr>
        <w:t>扬州经济开发区</w:t>
      </w:r>
      <w:bookmarkStart w:id="55" w:name="_Toc12999"/>
      <w:bookmarkStart w:id="56" w:name="_Toc29315"/>
      <w:r>
        <w:rPr>
          <w:rFonts w:hint="eastAsia"/>
          <w:sz w:val="24"/>
        </w:rPr>
        <w:t>环评批复</w:t>
      </w:r>
    </w:p>
    <w:p w14:paraId="6E973C0E">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附件</w:t>
      </w:r>
      <w:r>
        <w:rPr>
          <w:rFonts w:hint="eastAsia"/>
          <w:sz w:val="24"/>
          <w:lang w:val="en-US" w:eastAsia="zh-CN"/>
        </w:rPr>
        <w:t>8</w:t>
      </w:r>
      <w:r>
        <w:rPr>
          <w:rFonts w:hint="eastAsia" w:ascii="宋体" w:hAnsi="宋体" w:cs="宋体"/>
          <w:sz w:val="24"/>
        </w:rPr>
        <w:t xml:space="preserve">   </w:t>
      </w:r>
      <w:bookmarkEnd w:id="55"/>
      <w:bookmarkEnd w:id="56"/>
      <w:r>
        <w:rPr>
          <w:rFonts w:hint="default" w:ascii="宋体" w:hAnsi="宋体" w:cs="宋体"/>
          <w:sz w:val="24"/>
          <w:lang w:val="en-US" w:eastAsia="zh-CN"/>
        </w:rPr>
        <w:t>扬州市</w:t>
      </w:r>
      <w:r>
        <w:rPr>
          <w:rFonts w:hint="eastAsia" w:ascii="宋体" w:hAnsi="宋体" w:cs="宋体"/>
          <w:sz w:val="24"/>
          <w:lang w:val="en-US" w:eastAsia="zh-CN"/>
        </w:rPr>
        <w:t>六圩</w:t>
      </w:r>
      <w:r>
        <w:rPr>
          <w:rFonts w:hint="default" w:ascii="宋体" w:hAnsi="宋体" w:cs="宋体"/>
          <w:sz w:val="24"/>
          <w:lang w:val="en-US" w:eastAsia="zh-CN"/>
        </w:rPr>
        <w:t>污水处理厂</w:t>
      </w:r>
      <w:r>
        <w:rPr>
          <w:rFonts w:hint="eastAsia" w:ascii="宋体" w:hAnsi="宋体" w:cs="宋体"/>
          <w:sz w:val="24"/>
          <w:lang w:val="en-US" w:eastAsia="zh-CN"/>
        </w:rPr>
        <w:t>三期</w:t>
      </w:r>
      <w:r>
        <w:rPr>
          <w:rFonts w:hint="default" w:ascii="宋体" w:hAnsi="宋体" w:cs="宋体"/>
          <w:sz w:val="24"/>
          <w:lang w:val="en-US" w:eastAsia="zh-CN"/>
        </w:rPr>
        <w:t>工程项目环境影响报告书批复</w:t>
      </w:r>
    </w:p>
    <w:p w14:paraId="012335CB">
      <w:pPr>
        <w:adjustRightInd w:val="0"/>
        <w:snapToGrid w:val="0"/>
        <w:spacing w:line="360" w:lineRule="auto"/>
        <w:ind w:firstLine="480" w:firstLineChars="200"/>
        <w:jc w:val="left"/>
        <w:rPr>
          <w:rFonts w:hint="default" w:ascii="宋体" w:hAnsi="宋体" w:eastAsia="宋体" w:cs="宋体"/>
          <w:sz w:val="24"/>
          <w:lang w:val="en-US" w:eastAsia="zh-CN"/>
        </w:rPr>
      </w:pPr>
      <w:r>
        <w:rPr>
          <w:rFonts w:hint="eastAsia"/>
          <w:sz w:val="24"/>
        </w:rPr>
        <w:t>附件</w:t>
      </w:r>
      <w:r>
        <w:rPr>
          <w:rFonts w:hint="eastAsia" w:ascii="宋体" w:hAnsi="宋体" w:cs="宋体"/>
          <w:sz w:val="24"/>
          <w:lang w:val="en-US" w:eastAsia="zh-CN"/>
        </w:rPr>
        <w:t>9</w:t>
      </w:r>
      <w:r>
        <w:rPr>
          <w:rFonts w:hint="eastAsia"/>
          <w:sz w:val="24"/>
        </w:rPr>
        <w:t xml:space="preserve">  </w:t>
      </w:r>
      <w:r>
        <w:rPr>
          <w:rFonts w:hint="eastAsia"/>
          <w:sz w:val="24"/>
          <w:lang w:val="en-US" w:eastAsia="zh-CN"/>
        </w:rPr>
        <w:t xml:space="preserve"> </w:t>
      </w:r>
      <w:r>
        <w:rPr>
          <w:rFonts w:hint="eastAsia" w:ascii="宋体" w:hAnsi="宋体" w:cs="宋体"/>
          <w:sz w:val="24"/>
          <w:lang w:val="en-US" w:eastAsia="zh-CN"/>
        </w:rPr>
        <w:t>污水接管证明</w:t>
      </w:r>
    </w:p>
    <w:p w14:paraId="723AEB04">
      <w:pPr>
        <w:adjustRightInd w:val="0"/>
        <w:snapToGrid w:val="0"/>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附件</w:t>
      </w:r>
      <w:r>
        <w:rPr>
          <w:rFonts w:hint="eastAsia" w:ascii="宋体" w:hAnsi="宋体" w:cs="宋体"/>
          <w:sz w:val="24"/>
          <w:lang w:val="en-US" w:eastAsia="zh-CN"/>
        </w:rPr>
        <w:t>10</w:t>
      </w:r>
      <w:r>
        <w:rPr>
          <w:rFonts w:hint="eastAsia" w:ascii="宋体" w:hAnsi="宋体" w:cs="宋体"/>
          <w:sz w:val="24"/>
        </w:rPr>
        <w:t xml:space="preserve">   </w:t>
      </w:r>
      <w:r>
        <w:rPr>
          <w:rFonts w:hint="eastAsia" w:ascii="宋体" w:hAnsi="宋体" w:cs="宋体"/>
          <w:sz w:val="24"/>
          <w:lang w:val="en-US" w:eastAsia="zh-CN"/>
        </w:rPr>
        <w:t>环保诚信守法承诺书</w:t>
      </w:r>
    </w:p>
    <w:p w14:paraId="22EB4C70">
      <w:pPr>
        <w:adjustRightInd w:val="0"/>
        <w:snapToGrid w:val="0"/>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附件</w:t>
      </w:r>
      <w:r>
        <w:rPr>
          <w:rFonts w:hint="eastAsia" w:ascii="宋体" w:hAnsi="宋体" w:cs="宋体"/>
          <w:sz w:val="24"/>
          <w:lang w:val="en-US" w:eastAsia="zh-CN"/>
        </w:rPr>
        <w:t>11</w:t>
      </w:r>
      <w:r>
        <w:rPr>
          <w:rFonts w:hint="eastAsia" w:ascii="宋体" w:hAnsi="宋体" w:cs="宋体"/>
          <w:sz w:val="24"/>
        </w:rPr>
        <w:t xml:space="preserve">   </w:t>
      </w:r>
      <w:r>
        <w:rPr>
          <w:rFonts w:hint="eastAsia" w:ascii="宋体" w:hAnsi="宋体" w:cs="宋体"/>
          <w:sz w:val="24"/>
          <w:lang w:val="en-US" w:eastAsia="zh-CN"/>
        </w:rPr>
        <w:t>危险废物管理承诺书</w:t>
      </w:r>
    </w:p>
    <w:p w14:paraId="606D5AEB">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12</w:t>
      </w:r>
      <w:r>
        <w:rPr>
          <w:rFonts w:hint="eastAsia" w:ascii="宋体" w:hAnsi="宋体" w:cs="宋体"/>
          <w:sz w:val="24"/>
        </w:rPr>
        <w:t xml:space="preserve">   清洗剂VOC检测报告及MSDS</w:t>
      </w:r>
    </w:p>
    <w:p w14:paraId="254AA87C">
      <w:pPr>
        <w:adjustRightInd w:val="0"/>
        <w:snapToGrid w:val="0"/>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附件</w:t>
      </w:r>
      <w:r>
        <w:rPr>
          <w:rFonts w:hint="eastAsia" w:ascii="宋体" w:hAnsi="宋体" w:cs="宋体"/>
          <w:sz w:val="24"/>
          <w:lang w:val="en-US" w:eastAsia="zh-CN"/>
        </w:rPr>
        <w:t>13</w:t>
      </w:r>
      <w:r>
        <w:rPr>
          <w:rFonts w:hint="eastAsia" w:ascii="宋体" w:hAnsi="宋体" w:cs="宋体"/>
          <w:sz w:val="24"/>
        </w:rPr>
        <w:t xml:space="preserve">   </w:t>
      </w:r>
      <w:r>
        <w:rPr>
          <w:rFonts w:hint="eastAsia" w:ascii="宋体" w:hAnsi="宋体" w:cs="宋体"/>
          <w:sz w:val="24"/>
          <w:lang w:val="en-US" w:eastAsia="zh-CN"/>
        </w:rPr>
        <w:t>纯水制备废水检测报告</w:t>
      </w:r>
    </w:p>
    <w:p w14:paraId="3690B943">
      <w:pPr>
        <w:adjustRightInd w:val="0"/>
        <w:snapToGrid w:val="0"/>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附件14   冲洗废水检测报告</w:t>
      </w:r>
    </w:p>
    <w:p w14:paraId="12BBEE87">
      <w:pPr>
        <w:adjustRightInd w:val="0"/>
        <w:snapToGrid w:val="0"/>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附件</w:t>
      </w:r>
      <w:r>
        <w:rPr>
          <w:rFonts w:hint="eastAsia" w:ascii="宋体" w:hAnsi="宋体" w:cs="宋体"/>
          <w:sz w:val="24"/>
          <w:lang w:val="en-US" w:eastAsia="zh-CN"/>
        </w:rPr>
        <w:t>15</w:t>
      </w:r>
      <w:r>
        <w:rPr>
          <w:rFonts w:hint="eastAsia" w:ascii="宋体" w:hAnsi="宋体" w:cs="宋体"/>
          <w:sz w:val="24"/>
        </w:rPr>
        <w:t xml:space="preserve">   </w:t>
      </w:r>
      <w:r>
        <w:rPr>
          <w:rFonts w:hint="eastAsia" w:ascii="宋体" w:hAnsi="宋体" w:cs="宋体"/>
          <w:sz w:val="24"/>
          <w:lang w:val="en-US" w:eastAsia="zh-CN"/>
        </w:rPr>
        <w:t>部分原辅料MSDS</w:t>
      </w:r>
    </w:p>
    <w:p w14:paraId="6E3C9A77">
      <w:pPr>
        <w:adjustRightInd w:val="0"/>
        <w:snapToGrid w:val="0"/>
        <w:spacing w:line="360" w:lineRule="auto"/>
        <w:ind w:firstLine="480" w:firstLineChars="200"/>
        <w:jc w:val="left"/>
        <w:rPr>
          <w:rFonts w:hint="default" w:ascii="宋体" w:hAnsi="宋体" w:cs="宋体"/>
          <w:sz w:val="24"/>
          <w:lang w:val="en-US" w:eastAsia="zh-CN"/>
        </w:rPr>
      </w:pPr>
    </w:p>
    <w:p w14:paraId="5B95B38F"/>
    <w:p w14:paraId="72BDC6A5">
      <w:pPr>
        <w:adjustRightInd w:val="0"/>
        <w:snapToGrid w:val="0"/>
        <w:spacing w:line="360" w:lineRule="auto"/>
        <w:ind w:firstLine="480" w:firstLineChars="200"/>
        <w:jc w:val="left"/>
        <w:rPr>
          <w:rFonts w:hint="eastAsia" w:ascii="宋体" w:hAnsi="宋体" w:cs="宋体"/>
          <w:sz w:val="24"/>
        </w:rPr>
      </w:pPr>
      <w:bookmarkStart w:id="57" w:name="_Toc25959"/>
      <w:bookmarkStart w:id="58" w:name="_Toc21830"/>
      <w:r>
        <w:rPr>
          <w:rFonts w:hint="eastAsia" w:ascii="宋体" w:hAnsi="宋体" w:cs="宋体"/>
          <w:sz w:val="24"/>
        </w:rPr>
        <w:t>附图1   项目地理位置图</w:t>
      </w:r>
      <w:bookmarkEnd w:id="57"/>
      <w:bookmarkEnd w:id="58"/>
    </w:p>
    <w:p w14:paraId="5C1794A2">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附图2   </w:t>
      </w:r>
      <w:r>
        <w:rPr>
          <w:rFonts w:hint="eastAsia" w:ascii="宋体" w:hAnsi="宋体" w:cs="宋体"/>
          <w:sz w:val="24"/>
          <w:lang w:val="en-US" w:eastAsia="zh-CN"/>
        </w:rPr>
        <w:t>项目</w:t>
      </w:r>
      <w:r>
        <w:rPr>
          <w:rFonts w:hint="eastAsia" w:ascii="宋体" w:hAnsi="宋体" w:cs="宋体"/>
          <w:sz w:val="24"/>
        </w:rPr>
        <w:t>周边保护目标分布图</w:t>
      </w:r>
    </w:p>
    <w:p w14:paraId="51FF38BD">
      <w:pPr>
        <w:adjustRightInd w:val="0"/>
        <w:snapToGrid w:val="0"/>
        <w:spacing w:line="360" w:lineRule="auto"/>
        <w:ind w:firstLine="480" w:firstLineChars="200"/>
        <w:jc w:val="left"/>
        <w:rPr>
          <w:rFonts w:hint="eastAsia" w:ascii="宋体" w:hAnsi="宋体" w:cs="宋体"/>
          <w:sz w:val="24"/>
        </w:rPr>
      </w:pPr>
      <w:bookmarkStart w:id="59" w:name="_Toc10822"/>
      <w:bookmarkStart w:id="60" w:name="_Toc10375"/>
      <w:r>
        <w:rPr>
          <w:rFonts w:hint="eastAsia" w:ascii="宋体" w:hAnsi="宋体" w:cs="宋体"/>
          <w:sz w:val="24"/>
        </w:rPr>
        <w:t>附图3</w:t>
      </w:r>
      <w:r>
        <w:rPr>
          <w:rFonts w:hint="eastAsia" w:ascii="宋体" w:hAnsi="宋体" w:cs="宋体"/>
          <w:sz w:val="24"/>
          <w:lang w:val="en-US" w:eastAsia="zh-CN"/>
        </w:rPr>
        <w:t>-1</w:t>
      </w:r>
      <w:r>
        <w:rPr>
          <w:rFonts w:hint="eastAsia" w:ascii="宋体" w:hAnsi="宋体" w:cs="宋体"/>
          <w:sz w:val="24"/>
        </w:rPr>
        <w:t xml:space="preserve"> </w:t>
      </w:r>
      <w:bookmarkEnd w:id="59"/>
      <w:bookmarkEnd w:id="60"/>
      <w:bookmarkStart w:id="61" w:name="_Toc19727"/>
      <w:bookmarkStart w:id="62" w:name="_Toc15458"/>
      <w:r>
        <w:rPr>
          <w:rFonts w:hint="eastAsia" w:ascii="宋体" w:hAnsi="宋体" w:cs="宋体"/>
          <w:sz w:val="24"/>
          <w:lang w:val="en-US" w:eastAsia="zh-CN"/>
        </w:rPr>
        <w:t>项目</w:t>
      </w:r>
      <w:r>
        <w:rPr>
          <w:rFonts w:hint="eastAsia" w:ascii="宋体" w:hAnsi="宋体" w:cs="宋体"/>
          <w:sz w:val="24"/>
        </w:rPr>
        <w:t>平面布置图</w:t>
      </w:r>
    </w:p>
    <w:p w14:paraId="7A863FC7">
      <w:pPr>
        <w:adjustRightInd w:val="0"/>
        <w:snapToGrid w:val="0"/>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附图3-2 钙钛矿研究院（一层）设备拟布置图</w:t>
      </w:r>
    </w:p>
    <w:p w14:paraId="0B75DB8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附图4   </w:t>
      </w:r>
      <w:bookmarkEnd w:id="61"/>
      <w:bookmarkEnd w:id="62"/>
      <w:r>
        <w:rPr>
          <w:rFonts w:hint="eastAsia" w:ascii="宋体" w:hAnsi="宋体" w:cs="宋体"/>
          <w:sz w:val="24"/>
        </w:rPr>
        <w:t>项目周边水系图</w:t>
      </w:r>
    </w:p>
    <w:p w14:paraId="01AD0CE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附图5   项目与江苏省生态管控区位置关系图</w:t>
      </w:r>
    </w:p>
    <w:p w14:paraId="49A66D5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附图6   项目与扬州市环境管控单元位置关系图</w:t>
      </w:r>
    </w:p>
    <w:p w14:paraId="532E2A06">
      <w:pPr>
        <w:adjustRightInd w:val="0"/>
        <w:snapToGrid w:val="0"/>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 xml:space="preserve">附图7   </w:t>
      </w:r>
      <w:r>
        <w:rPr>
          <w:rFonts w:hint="eastAsia" w:ascii="宋体" w:hAnsi="宋体" w:cs="宋体"/>
          <w:sz w:val="24"/>
          <w:lang w:val="en-US" w:eastAsia="zh-CN"/>
        </w:rPr>
        <w:t>项目在六圩污水厂管网位置图</w:t>
      </w:r>
    </w:p>
    <w:p w14:paraId="2E0BAF76">
      <w:pPr>
        <w:adjustRightInd w:val="0"/>
        <w:snapToGrid w:val="0"/>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附图8   项目区域防渗图</w:t>
      </w:r>
      <w:bookmarkStart w:id="63" w:name="_GoBack"/>
      <w:bookmarkEnd w:id="63"/>
    </w:p>
    <w:p w14:paraId="1580458E"/>
    <w:p w14:paraId="24B88443"/>
    <w:sectPr>
      <w:footerReference r:id="rId7" w:type="default"/>
      <w:pgSz w:w="16838" w:h="11906" w:orient="landscape"/>
      <w:pgMar w:top="1531" w:right="1701" w:bottom="1531" w:left="1701" w:header="136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2E23">
    <w:pPr>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11FD">
    <w:pPr>
      <w:framePr w:wrap="around" w:vAnchor="text" w:hAnchor="margin" w:xAlign="center" w:y="1"/>
      <w:tabs>
        <w:tab w:val="center" w:pos="4153"/>
        <w:tab w:val="right" w:pos="8306"/>
      </w:tabs>
    </w:pPr>
    <w:r>
      <w:fldChar w:fldCharType="begin"/>
    </w:r>
    <w:r>
      <w:instrText xml:space="preserve">PAGE  </w:instrText>
    </w:r>
    <w:r>
      <w:fldChar w:fldCharType="end"/>
    </w:r>
  </w:p>
  <w:p w14:paraId="5FBBD426">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3467">
    <w:pPr>
      <w:tabs>
        <w:tab w:val="center" w:pos="4153"/>
        <w:tab w:val="right"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EEA27">
                          <w:pPr>
                            <w:tabs>
                              <w:tab w:val="center" w:pos="4153"/>
                              <w:tab w:val="right" w:pos="8306"/>
                            </w:tabs>
                            <w:jc w:val="left"/>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RAx8MBAACQ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bV&#10;6nVWqA9QY+JdwNQ0vPUD7s3sB3Rm4oOKNn+REsE46nu+6iuHRER+tF6t1xWGBMbmC+Kzh+chQnon&#10;vSXZaGjEARZd+ekDpDF1TsnVnL/VxpQhGveXAzGzh+Xexx6zlYb9MBHa+/aMfHqcfUMdrjol5r1D&#10;afOazEacjf1k5BoQ3hwTFi79ZNQRaiqGgyqMpqXKm/DnvWQ9/E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KNEDHwwEAAJADAAAOAAAAAAAAAAEAIAAAAB4BAABkcnMvZTJvRG9jLnhtbFBL&#10;BQYAAAAABgAGAFkBAABTBQAAAAA=&#10;">
              <v:fill on="f" focussize="0,0"/>
              <v:stroke on="f"/>
              <v:imagedata o:title=""/>
              <o:lock v:ext="edit" aspectratio="f"/>
              <v:textbox inset="0mm,0mm,0mm,0mm" style="mso-fit-shape-to-text:t;">
                <w:txbxContent>
                  <w:p w14:paraId="2C1EEA27">
                    <w:pPr>
                      <w:tabs>
                        <w:tab w:val="center" w:pos="4153"/>
                        <w:tab w:val="right" w:pos="8306"/>
                      </w:tabs>
                      <w:jc w:val="left"/>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108A">
    <w:pPr>
      <w:tabs>
        <w:tab w:val="center" w:pos="4153"/>
        <w:tab w:val="right" w:pos="8306"/>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0EB8F">
                          <w:pPr>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yBOC3dkBAAC1AwAADgAAAAAAAAABACAA&#10;AAAeAQAAZHJzL2Uyb0RvYy54bWxQSwUGAAAAAAYABgBZAQAAaQUAAAAA&#10;">
              <v:fill on="f" focussize="0,0"/>
              <v:stroke on="f"/>
              <v:imagedata o:title=""/>
              <o:lock v:ext="edit" aspectratio="f"/>
              <v:textbox inset="0mm,0mm,0mm,0mm" style="mso-fit-shape-to-text:t;">
                <w:txbxContent>
                  <w:p w14:paraId="73B0EB8F">
                    <w:pPr>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488FB">
    <w:pPr>
      <w:pBdr>
        <w:bottom w:val="none" w:color="auto" w:sz="0" w:space="1"/>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2BA32"/>
    <w:multiLevelType w:val="singleLevel"/>
    <w:tmpl w:val="E422BA32"/>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7F611C90"/>
    <w:multiLevelType w:val="singleLevel"/>
    <w:tmpl w:val="7F611C9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 w:name="KSO_WPS_MARK_KEY" w:val="6c342605-2c7c-40ff-84dd-63f98ec3ebe7"/>
  </w:docVars>
  <w:rsids>
    <w:rsidRoot w:val="00172A27"/>
    <w:rsid w:val="000060B3"/>
    <w:rsid w:val="000242FF"/>
    <w:rsid w:val="0004364B"/>
    <w:rsid w:val="00061B1F"/>
    <w:rsid w:val="000733C4"/>
    <w:rsid w:val="00074783"/>
    <w:rsid w:val="0008070B"/>
    <w:rsid w:val="000810AC"/>
    <w:rsid w:val="00081A02"/>
    <w:rsid w:val="00082231"/>
    <w:rsid w:val="000848CC"/>
    <w:rsid w:val="00092D38"/>
    <w:rsid w:val="0009377B"/>
    <w:rsid w:val="000A20C9"/>
    <w:rsid w:val="000B058F"/>
    <w:rsid w:val="000B4467"/>
    <w:rsid w:val="000B4DB9"/>
    <w:rsid w:val="000C09AC"/>
    <w:rsid w:val="000C767F"/>
    <w:rsid w:val="000D5A44"/>
    <w:rsid w:val="000E078B"/>
    <w:rsid w:val="000E3E8C"/>
    <w:rsid w:val="000E3ED2"/>
    <w:rsid w:val="000F4763"/>
    <w:rsid w:val="00131F42"/>
    <w:rsid w:val="001357F1"/>
    <w:rsid w:val="00140FA8"/>
    <w:rsid w:val="00142FEB"/>
    <w:rsid w:val="0014399C"/>
    <w:rsid w:val="00143A2D"/>
    <w:rsid w:val="00145A41"/>
    <w:rsid w:val="00151675"/>
    <w:rsid w:val="00157435"/>
    <w:rsid w:val="0016137C"/>
    <w:rsid w:val="00172A27"/>
    <w:rsid w:val="0017504D"/>
    <w:rsid w:val="0017671A"/>
    <w:rsid w:val="00177422"/>
    <w:rsid w:val="00184590"/>
    <w:rsid w:val="001870D1"/>
    <w:rsid w:val="0018781E"/>
    <w:rsid w:val="00191F8E"/>
    <w:rsid w:val="0019262D"/>
    <w:rsid w:val="001A1B35"/>
    <w:rsid w:val="001A4716"/>
    <w:rsid w:val="001A48A2"/>
    <w:rsid w:val="001A6F61"/>
    <w:rsid w:val="001B72B8"/>
    <w:rsid w:val="001C69B3"/>
    <w:rsid w:val="001D5595"/>
    <w:rsid w:val="001D7874"/>
    <w:rsid w:val="001D7F22"/>
    <w:rsid w:val="001F0F17"/>
    <w:rsid w:val="001F3347"/>
    <w:rsid w:val="001F69E4"/>
    <w:rsid w:val="002125B4"/>
    <w:rsid w:val="00214578"/>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2F1F9C"/>
    <w:rsid w:val="00301978"/>
    <w:rsid w:val="0030332C"/>
    <w:rsid w:val="003051C2"/>
    <w:rsid w:val="00312296"/>
    <w:rsid w:val="00314F0E"/>
    <w:rsid w:val="00321D8E"/>
    <w:rsid w:val="00325928"/>
    <w:rsid w:val="00330E70"/>
    <w:rsid w:val="0033142C"/>
    <w:rsid w:val="00332863"/>
    <w:rsid w:val="0033684D"/>
    <w:rsid w:val="00337B42"/>
    <w:rsid w:val="00341B42"/>
    <w:rsid w:val="0034348F"/>
    <w:rsid w:val="00356653"/>
    <w:rsid w:val="0035743F"/>
    <w:rsid w:val="00357BE2"/>
    <w:rsid w:val="0036170C"/>
    <w:rsid w:val="00366E0F"/>
    <w:rsid w:val="00376285"/>
    <w:rsid w:val="0038020A"/>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06F7"/>
    <w:rsid w:val="004A3823"/>
    <w:rsid w:val="004C62C6"/>
    <w:rsid w:val="004D397A"/>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1B19"/>
    <w:rsid w:val="00554A7B"/>
    <w:rsid w:val="0055572C"/>
    <w:rsid w:val="0056106A"/>
    <w:rsid w:val="005720AE"/>
    <w:rsid w:val="00594D77"/>
    <w:rsid w:val="005969E4"/>
    <w:rsid w:val="005A06B7"/>
    <w:rsid w:val="005A1759"/>
    <w:rsid w:val="005A68A7"/>
    <w:rsid w:val="005D36AB"/>
    <w:rsid w:val="005E04A9"/>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85226"/>
    <w:rsid w:val="007906C4"/>
    <w:rsid w:val="007940EA"/>
    <w:rsid w:val="007967E8"/>
    <w:rsid w:val="007A2170"/>
    <w:rsid w:val="007A22BF"/>
    <w:rsid w:val="007A31E8"/>
    <w:rsid w:val="007A3323"/>
    <w:rsid w:val="007A3B3E"/>
    <w:rsid w:val="007B72B8"/>
    <w:rsid w:val="007B7A58"/>
    <w:rsid w:val="007C21B5"/>
    <w:rsid w:val="007E4BD2"/>
    <w:rsid w:val="007F234E"/>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2AEC"/>
    <w:rsid w:val="008B4FA6"/>
    <w:rsid w:val="008B5282"/>
    <w:rsid w:val="008B7C17"/>
    <w:rsid w:val="008C2D01"/>
    <w:rsid w:val="008C40E6"/>
    <w:rsid w:val="008D0F7A"/>
    <w:rsid w:val="008D183B"/>
    <w:rsid w:val="008D1C6D"/>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5470"/>
    <w:rsid w:val="00976328"/>
    <w:rsid w:val="0097680D"/>
    <w:rsid w:val="00982057"/>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26F0E"/>
    <w:rsid w:val="00A32A83"/>
    <w:rsid w:val="00A368DB"/>
    <w:rsid w:val="00A423AA"/>
    <w:rsid w:val="00A53EC6"/>
    <w:rsid w:val="00A55C0F"/>
    <w:rsid w:val="00A8713F"/>
    <w:rsid w:val="00A87143"/>
    <w:rsid w:val="00A90BA1"/>
    <w:rsid w:val="00A97A9A"/>
    <w:rsid w:val="00AA0671"/>
    <w:rsid w:val="00AA2531"/>
    <w:rsid w:val="00AB1E09"/>
    <w:rsid w:val="00AB5330"/>
    <w:rsid w:val="00AB6DAE"/>
    <w:rsid w:val="00AB7747"/>
    <w:rsid w:val="00AC14CE"/>
    <w:rsid w:val="00AC2A56"/>
    <w:rsid w:val="00AD055E"/>
    <w:rsid w:val="00AD47A7"/>
    <w:rsid w:val="00AE6DED"/>
    <w:rsid w:val="00AF074D"/>
    <w:rsid w:val="00AF0CBF"/>
    <w:rsid w:val="00AF257F"/>
    <w:rsid w:val="00AF33CF"/>
    <w:rsid w:val="00AF4D50"/>
    <w:rsid w:val="00AF6179"/>
    <w:rsid w:val="00B1295A"/>
    <w:rsid w:val="00B16AC4"/>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B555E"/>
    <w:rsid w:val="00BC32DC"/>
    <w:rsid w:val="00BC35B6"/>
    <w:rsid w:val="00BD1B51"/>
    <w:rsid w:val="00BD4596"/>
    <w:rsid w:val="00BE1405"/>
    <w:rsid w:val="00BE312D"/>
    <w:rsid w:val="00BF1C20"/>
    <w:rsid w:val="00BF7757"/>
    <w:rsid w:val="00BF7F32"/>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23A8B"/>
    <w:rsid w:val="00D308ED"/>
    <w:rsid w:val="00D36D86"/>
    <w:rsid w:val="00D428AA"/>
    <w:rsid w:val="00D50A34"/>
    <w:rsid w:val="00D53EFA"/>
    <w:rsid w:val="00D94A7C"/>
    <w:rsid w:val="00D95896"/>
    <w:rsid w:val="00DB2983"/>
    <w:rsid w:val="00DC1257"/>
    <w:rsid w:val="00DC3DC0"/>
    <w:rsid w:val="00DC46C9"/>
    <w:rsid w:val="00DC5B2B"/>
    <w:rsid w:val="00DD318D"/>
    <w:rsid w:val="00DF2E12"/>
    <w:rsid w:val="00DF514A"/>
    <w:rsid w:val="00DF6690"/>
    <w:rsid w:val="00DF6804"/>
    <w:rsid w:val="00E0358D"/>
    <w:rsid w:val="00E036AC"/>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0FE6147"/>
    <w:rsid w:val="010661EB"/>
    <w:rsid w:val="01123F4D"/>
    <w:rsid w:val="01290F7E"/>
    <w:rsid w:val="013457B4"/>
    <w:rsid w:val="013F5CE6"/>
    <w:rsid w:val="014C4CB5"/>
    <w:rsid w:val="015D1E09"/>
    <w:rsid w:val="016604B6"/>
    <w:rsid w:val="016B23AD"/>
    <w:rsid w:val="016B3962"/>
    <w:rsid w:val="016E68D5"/>
    <w:rsid w:val="0170185E"/>
    <w:rsid w:val="019A1A1C"/>
    <w:rsid w:val="019D15BD"/>
    <w:rsid w:val="01A86642"/>
    <w:rsid w:val="02060AF0"/>
    <w:rsid w:val="022F3839"/>
    <w:rsid w:val="02325479"/>
    <w:rsid w:val="02406C4F"/>
    <w:rsid w:val="0249782F"/>
    <w:rsid w:val="024B1084"/>
    <w:rsid w:val="024E4F5B"/>
    <w:rsid w:val="024E60BC"/>
    <w:rsid w:val="02697903"/>
    <w:rsid w:val="028117ED"/>
    <w:rsid w:val="028B54DD"/>
    <w:rsid w:val="02986ED0"/>
    <w:rsid w:val="029947D7"/>
    <w:rsid w:val="02C830E4"/>
    <w:rsid w:val="02D144EC"/>
    <w:rsid w:val="02DA303A"/>
    <w:rsid w:val="02DD4638"/>
    <w:rsid w:val="02F235C9"/>
    <w:rsid w:val="02F96569"/>
    <w:rsid w:val="03180DA8"/>
    <w:rsid w:val="03194C48"/>
    <w:rsid w:val="03377A50"/>
    <w:rsid w:val="03477F7F"/>
    <w:rsid w:val="0353588E"/>
    <w:rsid w:val="03542F13"/>
    <w:rsid w:val="036704D3"/>
    <w:rsid w:val="036741DB"/>
    <w:rsid w:val="036F4D79"/>
    <w:rsid w:val="03705134"/>
    <w:rsid w:val="03A25B92"/>
    <w:rsid w:val="03A66F75"/>
    <w:rsid w:val="03A707CA"/>
    <w:rsid w:val="03AD66ED"/>
    <w:rsid w:val="03B63B9B"/>
    <w:rsid w:val="03BA2CD3"/>
    <w:rsid w:val="03BB124F"/>
    <w:rsid w:val="03BF0737"/>
    <w:rsid w:val="03C36E43"/>
    <w:rsid w:val="03C6770D"/>
    <w:rsid w:val="03CA71F0"/>
    <w:rsid w:val="03E129FB"/>
    <w:rsid w:val="03EA7B21"/>
    <w:rsid w:val="04023303"/>
    <w:rsid w:val="0417063D"/>
    <w:rsid w:val="041E5D9A"/>
    <w:rsid w:val="042B78A1"/>
    <w:rsid w:val="043369A9"/>
    <w:rsid w:val="04390C67"/>
    <w:rsid w:val="04462011"/>
    <w:rsid w:val="044B6419"/>
    <w:rsid w:val="045E4E58"/>
    <w:rsid w:val="045F529B"/>
    <w:rsid w:val="047341A1"/>
    <w:rsid w:val="04960A1A"/>
    <w:rsid w:val="04A11768"/>
    <w:rsid w:val="04A84F70"/>
    <w:rsid w:val="04B724DA"/>
    <w:rsid w:val="04BA128C"/>
    <w:rsid w:val="04BC2509"/>
    <w:rsid w:val="04C149FC"/>
    <w:rsid w:val="04C35D73"/>
    <w:rsid w:val="04E15164"/>
    <w:rsid w:val="04E53C4D"/>
    <w:rsid w:val="05136EF4"/>
    <w:rsid w:val="05210B3E"/>
    <w:rsid w:val="0544703B"/>
    <w:rsid w:val="054A1555"/>
    <w:rsid w:val="05551EB7"/>
    <w:rsid w:val="058D4170"/>
    <w:rsid w:val="059A3810"/>
    <w:rsid w:val="059E1FD6"/>
    <w:rsid w:val="05AB6BBC"/>
    <w:rsid w:val="05D45367"/>
    <w:rsid w:val="05E803E9"/>
    <w:rsid w:val="05E853AA"/>
    <w:rsid w:val="05F02E71"/>
    <w:rsid w:val="05F83EAE"/>
    <w:rsid w:val="06020FEE"/>
    <w:rsid w:val="06190C19"/>
    <w:rsid w:val="062713C6"/>
    <w:rsid w:val="06382AB6"/>
    <w:rsid w:val="063E03C3"/>
    <w:rsid w:val="063E7D85"/>
    <w:rsid w:val="064E5499"/>
    <w:rsid w:val="06593A3C"/>
    <w:rsid w:val="065E5D90"/>
    <w:rsid w:val="066F1B95"/>
    <w:rsid w:val="067054A6"/>
    <w:rsid w:val="0674510E"/>
    <w:rsid w:val="06845F75"/>
    <w:rsid w:val="06860A38"/>
    <w:rsid w:val="068A3FE8"/>
    <w:rsid w:val="06A14375"/>
    <w:rsid w:val="06B97D2B"/>
    <w:rsid w:val="06C029E3"/>
    <w:rsid w:val="06C103EA"/>
    <w:rsid w:val="06DA075B"/>
    <w:rsid w:val="06E62454"/>
    <w:rsid w:val="06F62E14"/>
    <w:rsid w:val="06F729B2"/>
    <w:rsid w:val="0709399B"/>
    <w:rsid w:val="07293586"/>
    <w:rsid w:val="07295285"/>
    <w:rsid w:val="073379BA"/>
    <w:rsid w:val="07550729"/>
    <w:rsid w:val="07636392"/>
    <w:rsid w:val="0768299E"/>
    <w:rsid w:val="076B3965"/>
    <w:rsid w:val="07770C56"/>
    <w:rsid w:val="078E1F3B"/>
    <w:rsid w:val="079830CC"/>
    <w:rsid w:val="07A415C4"/>
    <w:rsid w:val="07B84305"/>
    <w:rsid w:val="07BA5C90"/>
    <w:rsid w:val="07CD456F"/>
    <w:rsid w:val="07D00E83"/>
    <w:rsid w:val="07E36C6B"/>
    <w:rsid w:val="07EE39AB"/>
    <w:rsid w:val="07F246EE"/>
    <w:rsid w:val="07F42620"/>
    <w:rsid w:val="07F97734"/>
    <w:rsid w:val="07FA4065"/>
    <w:rsid w:val="07FD1823"/>
    <w:rsid w:val="080A0C57"/>
    <w:rsid w:val="081079E1"/>
    <w:rsid w:val="0812202A"/>
    <w:rsid w:val="08154DA0"/>
    <w:rsid w:val="083223E9"/>
    <w:rsid w:val="08373AD0"/>
    <w:rsid w:val="08375DAF"/>
    <w:rsid w:val="08616165"/>
    <w:rsid w:val="086C1862"/>
    <w:rsid w:val="088010EB"/>
    <w:rsid w:val="088156F3"/>
    <w:rsid w:val="08907D8B"/>
    <w:rsid w:val="089900B5"/>
    <w:rsid w:val="089C1AB4"/>
    <w:rsid w:val="08D545CC"/>
    <w:rsid w:val="08DB371F"/>
    <w:rsid w:val="08EE0200"/>
    <w:rsid w:val="08F7258E"/>
    <w:rsid w:val="090116DE"/>
    <w:rsid w:val="09176E21"/>
    <w:rsid w:val="092217DD"/>
    <w:rsid w:val="0936269F"/>
    <w:rsid w:val="09390E45"/>
    <w:rsid w:val="093A7294"/>
    <w:rsid w:val="09584323"/>
    <w:rsid w:val="096C796E"/>
    <w:rsid w:val="098169B1"/>
    <w:rsid w:val="09826943"/>
    <w:rsid w:val="099672F0"/>
    <w:rsid w:val="09BD2204"/>
    <w:rsid w:val="09CD33CC"/>
    <w:rsid w:val="09DE7CEC"/>
    <w:rsid w:val="09EA51E6"/>
    <w:rsid w:val="09ED1E39"/>
    <w:rsid w:val="0A0E3FAD"/>
    <w:rsid w:val="0A217FD8"/>
    <w:rsid w:val="0A263993"/>
    <w:rsid w:val="0A2D3AC2"/>
    <w:rsid w:val="0A721F7F"/>
    <w:rsid w:val="0A804E11"/>
    <w:rsid w:val="0A813B13"/>
    <w:rsid w:val="0A8E4D98"/>
    <w:rsid w:val="0A8F0256"/>
    <w:rsid w:val="0A9A1901"/>
    <w:rsid w:val="0AA3755F"/>
    <w:rsid w:val="0AA755DF"/>
    <w:rsid w:val="0AAC612D"/>
    <w:rsid w:val="0AB013D8"/>
    <w:rsid w:val="0AB77D4F"/>
    <w:rsid w:val="0AC12B42"/>
    <w:rsid w:val="0AC305C8"/>
    <w:rsid w:val="0AD044A3"/>
    <w:rsid w:val="0AD47733"/>
    <w:rsid w:val="0ADC786B"/>
    <w:rsid w:val="0AEA2FF3"/>
    <w:rsid w:val="0AEB5513"/>
    <w:rsid w:val="0AF40FFB"/>
    <w:rsid w:val="0AFF2B94"/>
    <w:rsid w:val="0B120D44"/>
    <w:rsid w:val="0B137847"/>
    <w:rsid w:val="0B2609B4"/>
    <w:rsid w:val="0B2741E4"/>
    <w:rsid w:val="0B353EE1"/>
    <w:rsid w:val="0B446EAF"/>
    <w:rsid w:val="0B48281C"/>
    <w:rsid w:val="0B4A6C19"/>
    <w:rsid w:val="0B4C6613"/>
    <w:rsid w:val="0B5A6B0A"/>
    <w:rsid w:val="0B60694A"/>
    <w:rsid w:val="0B622FC2"/>
    <w:rsid w:val="0B747D87"/>
    <w:rsid w:val="0B7A0FF0"/>
    <w:rsid w:val="0B82147F"/>
    <w:rsid w:val="0B8A69CA"/>
    <w:rsid w:val="0B9139B6"/>
    <w:rsid w:val="0B9B4D82"/>
    <w:rsid w:val="0BB27EF8"/>
    <w:rsid w:val="0BCB0B70"/>
    <w:rsid w:val="0BCE7CA1"/>
    <w:rsid w:val="0BD27BF6"/>
    <w:rsid w:val="0BD36947"/>
    <w:rsid w:val="0BEF1565"/>
    <w:rsid w:val="0BF64A3D"/>
    <w:rsid w:val="0C052304"/>
    <w:rsid w:val="0C0B2AF9"/>
    <w:rsid w:val="0C34122A"/>
    <w:rsid w:val="0C3B3C7D"/>
    <w:rsid w:val="0C3D613A"/>
    <w:rsid w:val="0C421DF9"/>
    <w:rsid w:val="0C4A7C8C"/>
    <w:rsid w:val="0C5C2584"/>
    <w:rsid w:val="0C7977BF"/>
    <w:rsid w:val="0C987CA3"/>
    <w:rsid w:val="0CAB2EAE"/>
    <w:rsid w:val="0CBD01B9"/>
    <w:rsid w:val="0CC65DF8"/>
    <w:rsid w:val="0CD54C1E"/>
    <w:rsid w:val="0CE4480B"/>
    <w:rsid w:val="0D0100F0"/>
    <w:rsid w:val="0D0D507E"/>
    <w:rsid w:val="0D16255B"/>
    <w:rsid w:val="0D265751"/>
    <w:rsid w:val="0D3E3118"/>
    <w:rsid w:val="0D621C7D"/>
    <w:rsid w:val="0D685A70"/>
    <w:rsid w:val="0D7D5E79"/>
    <w:rsid w:val="0D7E3B61"/>
    <w:rsid w:val="0D840615"/>
    <w:rsid w:val="0D9921AC"/>
    <w:rsid w:val="0D9F0F8A"/>
    <w:rsid w:val="0DA2362C"/>
    <w:rsid w:val="0DA40821"/>
    <w:rsid w:val="0DA62378"/>
    <w:rsid w:val="0DA96F18"/>
    <w:rsid w:val="0DA97AB5"/>
    <w:rsid w:val="0DC51B4A"/>
    <w:rsid w:val="0DC95604"/>
    <w:rsid w:val="0DD70836"/>
    <w:rsid w:val="0DDB6C9F"/>
    <w:rsid w:val="0DEB7486"/>
    <w:rsid w:val="0E031685"/>
    <w:rsid w:val="0E282A07"/>
    <w:rsid w:val="0E465E4A"/>
    <w:rsid w:val="0E4A52FB"/>
    <w:rsid w:val="0E515770"/>
    <w:rsid w:val="0E5A0D94"/>
    <w:rsid w:val="0E73034D"/>
    <w:rsid w:val="0E833FD8"/>
    <w:rsid w:val="0E8611C8"/>
    <w:rsid w:val="0E8A615C"/>
    <w:rsid w:val="0E953B0F"/>
    <w:rsid w:val="0E984901"/>
    <w:rsid w:val="0EBC63E9"/>
    <w:rsid w:val="0ED75E82"/>
    <w:rsid w:val="0F0A5482"/>
    <w:rsid w:val="0F13775A"/>
    <w:rsid w:val="0F1957DE"/>
    <w:rsid w:val="0F29227F"/>
    <w:rsid w:val="0F296723"/>
    <w:rsid w:val="0F3F379D"/>
    <w:rsid w:val="0F5F45FE"/>
    <w:rsid w:val="0F6775CB"/>
    <w:rsid w:val="0F6B19D5"/>
    <w:rsid w:val="0F735F78"/>
    <w:rsid w:val="0F7635BB"/>
    <w:rsid w:val="0F865C8A"/>
    <w:rsid w:val="0F9A112B"/>
    <w:rsid w:val="0FA04290"/>
    <w:rsid w:val="0FDC1C7B"/>
    <w:rsid w:val="0FE12033"/>
    <w:rsid w:val="0FE4144D"/>
    <w:rsid w:val="0FEB454A"/>
    <w:rsid w:val="0FF66AEC"/>
    <w:rsid w:val="0FFF254C"/>
    <w:rsid w:val="1000116F"/>
    <w:rsid w:val="10014A12"/>
    <w:rsid w:val="10226A9A"/>
    <w:rsid w:val="102510F5"/>
    <w:rsid w:val="102A4CF7"/>
    <w:rsid w:val="102E6F92"/>
    <w:rsid w:val="103C2486"/>
    <w:rsid w:val="105C4DBA"/>
    <w:rsid w:val="105C4E6D"/>
    <w:rsid w:val="106071C9"/>
    <w:rsid w:val="1063264A"/>
    <w:rsid w:val="106A14A0"/>
    <w:rsid w:val="106D2F64"/>
    <w:rsid w:val="10702F99"/>
    <w:rsid w:val="10795A92"/>
    <w:rsid w:val="108A241D"/>
    <w:rsid w:val="1090602C"/>
    <w:rsid w:val="10935EFF"/>
    <w:rsid w:val="10B63710"/>
    <w:rsid w:val="10B86A96"/>
    <w:rsid w:val="10F10820"/>
    <w:rsid w:val="10F73FD4"/>
    <w:rsid w:val="11053269"/>
    <w:rsid w:val="110E2B2E"/>
    <w:rsid w:val="11123798"/>
    <w:rsid w:val="11156174"/>
    <w:rsid w:val="111C2F7A"/>
    <w:rsid w:val="11363E38"/>
    <w:rsid w:val="11367F9F"/>
    <w:rsid w:val="11594BC4"/>
    <w:rsid w:val="11665CA1"/>
    <w:rsid w:val="117845EC"/>
    <w:rsid w:val="117A3370"/>
    <w:rsid w:val="117A4A0C"/>
    <w:rsid w:val="117C2722"/>
    <w:rsid w:val="117D05CD"/>
    <w:rsid w:val="117E0EBF"/>
    <w:rsid w:val="11814F70"/>
    <w:rsid w:val="11852036"/>
    <w:rsid w:val="11C0423C"/>
    <w:rsid w:val="11C22BDC"/>
    <w:rsid w:val="11DC215D"/>
    <w:rsid w:val="11F06F87"/>
    <w:rsid w:val="11F94EA5"/>
    <w:rsid w:val="1200578E"/>
    <w:rsid w:val="120E2219"/>
    <w:rsid w:val="121A0F4E"/>
    <w:rsid w:val="121D2E3A"/>
    <w:rsid w:val="12436759"/>
    <w:rsid w:val="124A7EDB"/>
    <w:rsid w:val="125020AE"/>
    <w:rsid w:val="12681383"/>
    <w:rsid w:val="12A52701"/>
    <w:rsid w:val="12AD1646"/>
    <w:rsid w:val="12AF77DA"/>
    <w:rsid w:val="12B931D6"/>
    <w:rsid w:val="12C52AF5"/>
    <w:rsid w:val="12DF03A9"/>
    <w:rsid w:val="12E637F1"/>
    <w:rsid w:val="12E905CD"/>
    <w:rsid w:val="12F224BB"/>
    <w:rsid w:val="1307676E"/>
    <w:rsid w:val="130A6B04"/>
    <w:rsid w:val="130D06CD"/>
    <w:rsid w:val="130D6927"/>
    <w:rsid w:val="130E3431"/>
    <w:rsid w:val="1312473E"/>
    <w:rsid w:val="131A2A24"/>
    <w:rsid w:val="131B18DA"/>
    <w:rsid w:val="131F272F"/>
    <w:rsid w:val="132E024D"/>
    <w:rsid w:val="133E38F9"/>
    <w:rsid w:val="13496D29"/>
    <w:rsid w:val="13700AB4"/>
    <w:rsid w:val="13720C2C"/>
    <w:rsid w:val="137462B5"/>
    <w:rsid w:val="137A44D7"/>
    <w:rsid w:val="137C0134"/>
    <w:rsid w:val="138F3AE6"/>
    <w:rsid w:val="13923E92"/>
    <w:rsid w:val="13951726"/>
    <w:rsid w:val="13A53131"/>
    <w:rsid w:val="13BD2427"/>
    <w:rsid w:val="13C26410"/>
    <w:rsid w:val="13C71B2A"/>
    <w:rsid w:val="13CB7849"/>
    <w:rsid w:val="13CD520A"/>
    <w:rsid w:val="13CF6C5F"/>
    <w:rsid w:val="13DD5079"/>
    <w:rsid w:val="13DE6D32"/>
    <w:rsid w:val="13E80D25"/>
    <w:rsid w:val="13E91285"/>
    <w:rsid w:val="13E97EE8"/>
    <w:rsid w:val="140A20D8"/>
    <w:rsid w:val="1417020B"/>
    <w:rsid w:val="141C0756"/>
    <w:rsid w:val="143471F0"/>
    <w:rsid w:val="14364F2C"/>
    <w:rsid w:val="14396509"/>
    <w:rsid w:val="14425194"/>
    <w:rsid w:val="144954C7"/>
    <w:rsid w:val="14504BDB"/>
    <w:rsid w:val="145263C8"/>
    <w:rsid w:val="14577D53"/>
    <w:rsid w:val="145D2BA6"/>
    <w:rsid w:val="145D677F"/>
    <w:rsid w:val="146A374B"/>
    <w:rsid w:val="146A6548"/>
    <w:rsid w:val="147B2C1E"/>
    <w:rsid w:val="149448E7"/>
    <w:rsid w:val="14991C55"/>
    <w:rsid w:val="14A63272"/>
    <w:rsid w:val="14AF24DC"/>
    <w:rsid w:val="14B1117C"/>
    <w:rsid w:val="14B30216"/>
    <w:rsid w:val="14B73D31"/>
    <w:rsid w:val="14D16CE2"/>
    <w:rsid w:val="14DB3219"/>
    <w:rsid w:val="14DD2C3C"/>
    <w:rsid w:val="14F606B8"/>
    <w:rsid w:val="15363A0C"/>
    <w:rsid w:val="153D63CB"/>
    <w:rsid w:val="15430E50"/>
    <w:rsid w:val="1550596F"/>
    <w:rsid w:val="158521DA"/>
    <w:rsid w:val="158B795C"/>
    <w:rsid w:val="15921FA5"/>
    <w:rsid w:val="15991588"/>
    <w:rsid w:val="15A417ED"/>
    <w:rsid w:val="15C43F35"/>
    <w:rsid w:val="15C7682C"/>
    <w:rsid w:val="15C9016D"/>
    <w:rsid w:val="15CA52BA"/>
    <w:rsid w:val="15CB7C81"/>
    <w:rsid w:val="15DE5101"/>
    <w:rsid w:val="15EA0661"/>
    <w:rsid w:val="15EA3E6B"/>
    <w:rsid w:val="1600055C"/>
    <w:rsid w:val="16036910"/>
    <w:rsid w:val="16087E1D"/>
    <w:rsid w:val="161A2958"/>
    <w:rsid w:val="16202192"/>
    <w:rsid w:val="162F6B0E"/>
    <w:rsid w:val="16414301"/>
    <w:rsid w:val="164B0567"/>
    <w:rsid w:val="16654EBE"/>
    <w:rsid w:val="16692992"/>
    <w:rsid w:val="16922E00"/>
    <w:rsid w:val="16AA0138"/>
    <w:rsid w:val="16AC5E28"/>
    <w:rsid w:val="16AD2C30"/>
    <w:rsid w:val="16AE0D16"/>
    <w:rsid w:val="16C02EA0"/>
    <w:rsid w:val="16E624AA"/>
    <w:rsid w:val="16FD49B5"/>
    <w:rsid w:val="170B3646"/>
    <w:rsid w:val="170E7B15"/>
    <w:rsid w:val="170F29C9"/>
    <w:rsid w:val="17137CA1"/>
    <w:rsid w:val="17191297"/>
    <w:rsid w:val="173B5C5B"/>
    <w:rsid w:val="17480586"/>
    <w:rsid w:val="17581222"/>
    <w:rsid w:val="17701D14"/>
    <w:rsid w:val="17735226"/>
    <w:rsid w:val="177B47A4"/>
    <w:rsid w:val="178961B2"/>
    <w:rsid w:val="178A0F83"/>
    <w:rsid w:val="179151F9"/>
    <w:rsid w:val="1794387B"/>
    <w:rsid w:val="17A008F9"/>
    <w:rsid w:val="17AD3C71"/>
    <w:rsid w:val="17B53575"/>
    <w:rsid w:val="17B84046"/>
    <w:rsid w:val="17BD1D5E"/>
    <w:rsid w:val="17BF57B9"/>
    <w:rsid w:val="17CE427F"/>
    <w:rsid w:val="17D25543"/>
    <w:rsid w:val="17E55306"/>
    <w:rsid w:val="17EE3FF4"/>
    <w:rsid w:val="180540FE"/>
    <w:rsid w:val="180F4400"/>
    <w:rsid w:val="181957AB"/>
    <w:rsid w:val="181C2EE0"/>
    <w:rsid w:val="182E7932"/>
    <w:rsid w:val="18607E09"/>
    <w:rsid w:val="186533DF"/>
    <w:rsid w:val="186E5157"/>
    <w:rsid w:val="18762D1E"/>
    <w:rsid w:val="18787F8B"/>
    <w:rsid w:val="187E123D"/>
    <w:rsid w:val="18802F8C"/>
    <w:rsid w:val="188365F6"/>
    <w:rsid w:val="1884480E"/>
    <w:rsid w:val="188C2904"/>
    <w:rsid w:val="18963507"/>
    <w:rsid w:val="189E3CDE"/>
    <w:rsid w:val="189F372D"/>
    <w:rsid w:val="189F624C"/>
    <w:rsid w:val="18AA4541"/>
    <w:rsid w:val="18B255CB"/>
    <w:rsid w:val="18BD7CDA"/>
    <w:rsid w:val="18BE3CD8"/>
    <w:rsid w:val="18BF20EB"/>
    <w:rsid w:val="18CA0412"/>
    <w:rsid w:val="18D17C9E"/>
    <w:rsid w:val="18DA6B8A"/>
    <w:rsid w:val="18FB0198"/>
    <w:rsid w:val="19002453"/>
    <w:rsid w:val="190F145D"/>
    <w:rsid w:val="19223E2A"/>
    <w:rsid w:val="193D027C"/>
    <w:rsid w:val="19505836"/>
    <w:rsid w:val="195E20D5"/>
    <w:rsid w:val="195E6D95"/>
    <w:rsid w:val="19660C02"/>
    <w:rsid w:val="19782BFB"/>
    <w:rsid w:val="198E04B5"/>
    <w:rsid w:val="199900A5"/>
    <w:rsid w:val="19B353A0"/>
    <w:rsid w:val="19B52223"/>
    <w:rsid w:val="19BD6461"/>
    <w:rsid w:val="19BE5056"/>
    <w:rsid w:val="19C562BB"/>
    <w:rsid w:val="19C86047"/>
    <w:rsid w:val="19D32CA7"/>
    <w:rsid w:val="19DC1C99"/>
    <w:rsid w:val="19DE0CE2"/>
    <w:rsid w:val="19E02EE1"/>
    <w:rsid w:val="19ED4E67"/>
    <w:rsid w:val="19F1781C"/>
    <w:rsid w:val="19F32F1D"/>
    <w:rsid w:val="19FE3F5C"/>
    <w:rsid w:val="1A1416C6"/>
    <w:rsid w:val="1A1C66C0"/>
    <w:rsid w:val="1A2D6BB0"/>
    <w:rsid w:val="1A356462"/>
    <w:rsid w:val="1A3A7A37"/>
    <w:rsid w:val="1A3F3F57"/>
    <w:rsid w:val="1A401E0F"/>
    <w:rsid w:val="1A403349"/>
    <w:rsid w:val="1A42393B"/>
    <w:rsid w:val="1A4E64FE"/>
    <w:rsid w:val="1A6410C2"/>
    <w:rsid w:val="1A69020D"/>
    <w:rsid w:val="1A7964E9"/>
    <w:rsid w:val="1A913B59"/>
    <w:rsid w:val="1A9240DF"/>
    <w:rsid w:val="1A9C0395"/>
    <w:rsid w:val="1A9C1F9E"/>
    <w:rsid w:val="1AAA7226"/>
    <w:rsid w:val="1AAD45DE"/>
    <w:rsid w:val="1AAE2BE6"/>
    <w:rsid w:val="1ABD4B4F"/>
    <w:rsid w:val="1ABF1900"/>
    <w:rsid w:val="1ADB2E24"/>
    <w:rsid w:val="1AE96634"/>
    <w:rsid w:val="1AEC69A0"/>
    <w:rsid w:val="1B046F80"/>
    <w:rsid w:val="1B1A2928"/>
    <w:rsid w:val="1B3267B5"/>
    <w:rsid w:val="1B40161D"/>
    <w:rsid w:val="1B441859"/>
    <w:rsid w:val="1B595258"/>
    <w:rsid w:val="1B5A7DAB"/>
    <w:rsid w:val="1B6606B1"/>
    <w:rsid w:val="1B706419"/>
    <w:rsid w:val="1B7C07C9"/>
    <w:rsid w:val="1B7F7ECF"/>
    <w:rsid w:val="1B8C0A56"/>
    <w:rsid w:val="1B931EB0"/>
    <w:rsid w:val="1BAA2D4F"/>
    <w:rsid w:val="1BB2516F"/>
    <w:rsid w:val="1BB67C87"/>
    <w:rsid w:val="1BCE020D"/>
    <w:rsid w:val="1BDA3ECC"/>
    <w:rsid w:val="1BE06581"/>
    <w:rsid w:val="1BE914BA"/>
    <w:rsid w:val="1C00628F"/>
    <w:rsid w:val="1C0A7453"/>
    <w:rsid w:val="1C1A2D66"/>
    <w:rsid w:val="1C1C7406"/>
    <w:rsid w:val="1C252714"/>
    <w:rsid w:val="1C2629DA"/>
    <w:rsid w:val="1C3338AB"/>
    <w:rsid w:val="1C3742D9"/>
    <w:rsid w:val="1C4C2CFD"/>
    <w:rsid w:val="1C5A787B"/>
    <w:rsid w:val="1C5E7925"/>
    <w:rsid w:val="1C646FED"/>
    <w:rsid w:val="1C6B6299"/>
    <w:rsid w:val="1C7378F9"/>
    <w:rsid w:val="1C81310D"/>
    <w:rsid w:val="1C980A44"/>
    <w:rsid w:val="1CC579AC"/>
    <w:rsid w:val="1CC61FCD"/>
    <w:rsid w:val="1CD42B1F"/>
    <w:rsid w:val="1CD62FC9"/>
    <w:rsid w:val="1CE336D3"/>
    <w:rsid w:val="1CE828E2"/>
    <w:rsid w:val="1CFD070F"/>
    <w:rsid w:val="1D1B3DEF"/>
    <w:rsid w:val="1D1E7B72"/>
    <w:rsid w:val="1D225AE3"/>
    <w:rsid w:val="1D2F1A1E"/>
    <w:rsid w:val="1D31734C"/>
    <w:rsid w:val="1D3E15EC"/>
    <w:rsid w:val="1D41644E"/>
    <w:rsid w:val="1D47564C"/>
    <w:rsid w:val="1D594D2B"/>
    <w:rsid w:val="1D5C1A72"/>
    <w:rsid w:val="1D5F6196"/>
    <w:rsid w:val="1D6132A5"/>
    <w:rsid w:val="1D66725D"/>
    <w:rsid w:val="1D6829D1"/>
    <w:rsid w:val="1D6A03AC"/>
    <w:rsid w:val="1D7B363E"/>
    <w:rsid w:val="1D8E56D5"/>
    <w:rsid w:val="1D9C3F6B"/>
    <w:rsid w:val="1DB45650"/>
    <w:rsid w:val="1DC52165"/>
    <w:rsid w:val="1DC55869"/>
    <w:rsid w:val="1DC64C74"/>
    <w:rsid w:val="1DCC6E1A"/>
    <w:rsid w:val="1DD6290E"/>
    <w:rsid w:val="1DD80E75"/>
    <w:rsid w:val="1DD91315"/>
    <w:rsid w:val="1DE07899"/>
    <w:rsid w:val="1DE3277E"/>
    <w:rsid w:val="1DFA71BA"/>
    <w:rsid w:val="1DFE2E7A"/>
    <w:rsid w:val="1E0241AE"/>
    <w:rsid w:val="1E1223E9"/>
    <w:rsid w:val="1E125DA9"/>
    <w:rsid w:val="1E1C7C39"/>
    <w:rsid w:val="1E274168"/>
    <w:rsid w:val="1E424834"/>
    <w:rsid w:val="1E55704D"/>
    <w:rsid w:val="1E773418"/>
    <w:rsid w:val="1E7A43DA"/>
    <w:rsid w:val="1E8E389F"/>
    <w:rsid w:val="1E8F6A52"/>
    <w:rsid w:val="1EA73DB5"/>
    <w:rsid w:val="1EB03333"/>
    <w:rsid w:val="1EB416F1"/>
    <w:rsid w:val="1EC164BD"/>
    <w:rsid w:val="1EC17125"/>
    <w:rsid w:val="1ED379F6"/>
    <w:rsid w:val="1EDC48DB"/>
    <w:rsid w:val="1EDD516F"/>
    <w:rsid w:val="1EDF23C8"/>
    <w:rsid w:val="1EE372AB"/>
    <w:rsid w:val="1EED0D74"/>
    <w:rsid w:val="1EF0279E"/>
    <w:rsid w:val="1EFA416B"/>
    <w:rsid w:val="1F07006B"/>
    <w:rsid w:val="1F18416C"/>
    <w:rsid w:val="1F33749A"/>
    <w:rsid w:val="1F3D0BAB"/>
    <w:rsid w:val="1F420499"/>
    <w:rsid w:val="1F51709C"/>
    <w:rsid w:val="1F575C13"/>
    <w:rsid w:val="1F582EC3"/>
    <w:rsid w:val="1F5A2445"/>
    <w:rsid w:val="1F613655"/>
    <w:rsid w:val="1F685698"/>
    <w:rsid w:val="1F697227"/>
    <w:rsid w:val="1F736016"/>
    <w:rsid w:val="1F7D5577"/>
    <w:rsid w:val="1F852452"/>
    <w:rsid w:val="1F9E4428"/>
    <w:rsid w:val="1FBE2FE5"/>
    <w:rsid w:val="1FC00C01"/>
    <w:rsid w:val="1FC84455"/>
    <w:rsid w:val="1FD12112"/>
    <w:rsid w:val="1FDA0777"/>
    <w:rsid w:val="1FE37EF3"/>
    <w:rsid w:val="1FE7539E"/>
    <w:rsid w:val="1FE85819"/>
    <w:rsid w:val="1FF62D57"/>
    <w:rsid w:val="1FF63C67"/>
    <w:rsid w:val="1FFE6D29"/>
    <w:rsid w:val="20000DDB"/>
    <w:rsid w:val="200D39B4"/>
    <w:rsid w:val="2021436A"/>
    <w:rsid w:val="202208F8"/>
    <w:rsid w:val="20226178"/>
    <w:rsid w:val="20260B19"/>
    <w:rsid w:val="202C3A6D"/>
    <w:rsid w:val="203A5641"/>
    <w:rsid w:val="204E6524"/>
    <w:rsid w:val="20671BE0"/>
    <w:rsid w:val="207609FE"/>
    <w:rsid w:val="20834DD2"/>
    <w:rsid w:val="20843E77"/>
    <w:rsid w:val="20963CB8"/>
    <w:rsid w:val="20964673"/>
    <w:rsid w:val="20A47611"/>
    <w:rsid w:val="20A81A1B"/>
    <w:rsid w:val="20B07FB6"/>
    <w:rsid w:val="20B646FB"/>
    <w:rsid w:val="20D12B0B"/>
    <w:rsid w:val="20F126A7"/>
    <w:rsid w:val="20F34C38"/>
    <w:rsid w:val="20F55B11"/>
    <w:rsid w:val="20FF4B0F"/>
    <w:rsid w:val="212420F6"/>
    <w:rsid w:val="213B4884"/>
    <w:rsid w:val="213B74B1"/>
    <w:rsid w:val="213E7217"/>
    <w:rsid w:val="213F39B6"/>
    <w:rsid w:val="215476EB"/>
    <w:rsid w:val="215A2310"/>
    <w:rsid w:val="215F17BA"/>
    <w:rsid w:val="21602FA7"/>
    <w:rsid w:val="21686489"/>
    <w:rsid w:val="21755153"/>
    <w:rsid w:val="217A5EC7"/>
    <w:rsid w:val="217E2766"/>
    <w:rsid w:val="218B7EA4"/>
    <w:rsid w:val="21917906"/>
    <w:rsid w:val="219859CA"/>
    <w:rsid w:val="21B12AC5"/>
    <w:rsid w:val="21C01C16"/>
    <w:rsid w:val="21CC274A"/>
    <w:rsid w:val="21D46499"/>
    <w:rsid w:val="21DE318A"/>
    <w:rsid w:val="21E53068"/>
    <w:rsid w:val="21EF5B80"/>
    <w:rsid w:val="2211559C"/>
    <w:rsid w:val="22162C4E"/>
    <w:rsid w:val="22187D42"/>
    <w:rsid w:val="22195088"/>
    <w:rsid w:val="2223701A"/>
    <w:rsid w:val="22254AC1"/>
    <w:rsid w:val="22372314"/>
    <w:rsid w:val="2239526A"/>
    <w:rsid w:val="224C0D83"/>
    <w:rsid w:val="225343F3"/>
    <w:rsid w:val="22576990"/>
    <w:rsid w:val="22645AA9"/>
    <w:rsid w:val="22651B4B"/>
    <w:rsid w:val="226C7993"/>
    <w:rsid w:val="227F5B10"/>
    <w:rsid w:val="22874BAA"/>
    <w:rsid w:val="22A51E56"/>
    <w:rsid w:val="22A76B3C"/>
    <w:rsid w:val="22AD0F59"/>
    <w:rsid w:val="22BD12E7"/>
    <w:rsid w:val="22F16713"/>
    <w:rsid w:val="22F47480"/>
    <w:rsid w:val="22FA7F12"/>
    <w:rsid w:val="22FB3657"/>
    <w:rsid w:val="23017896"/>
    <w:rsid w:val="232D370A"/>
    <w:rsid w:val="23355532"/>
    <w:rsid w:val="23356A63"/>
    <w:rsid w:val="233D33EC"/>
    <w:rsid w:val="233E3859"/>
    <w:rsid w:val="234234BF"/>
    <w:rsid w:val="23434244"/>
    <w:rsid w:val="234C4F44"/>
    <w:rsid w:val="2357538C"/>
    <w:rsid w:val="23766F3F"/>
    <w:rsid w:val="237F2B50"/>
    <w:rsid w:val="238C4270"/>
    <w:rsid w:val="238E110C"/>
    <w:rsid w:val="23947B46"/>
    <w:rsid w:val="2399129D"/>
    <w:rsid w:val="2399538C"/>
    <w:rsid w:val="23C316A6"/>
    <w:rsid w:val="23C87550"/>
    <w:rsid w:val="23D234C6"/>
    <w:rsid w:val="23D47CC4"/>
    <w:rsid w:val="23DE1C48"/>
    <w:rsid w:val="23E06FE7"/>
    <w:rsid w:val="23EF284C"/>
    <w:rsid w:val="23F6080D"/>
    <w:rsid w:val="23F62992"/>
    <w:rsid w:val="23FC02C9"/>
    <w:rsid w:val="240210CD"/>
    <w:rsid w:val="240F2B2D"/>
    <w:rsid w:val="24191C31"/>
    <w:rsid w:val="242673B9"/>
    <w:rsid w:val="2438594A"/>
    <w:rsid w:val="24386C9B"/>
    <w:rsid w:val="244D65B8"/>
    <w:rsid w:val="24596A62"/>
    <w:rsid w:val="245A1D31"/>
    <w:rsid w:val="24625AF5"/>
    <w:rsid w:val="246E5015"/>
    <w:rsid w:val="247F281F"/>
    <w:rsid w:val="248465A1"/>
    <w:rsid w:val="249C7B27"/>
    <w:rsid w:val="24BF09F7"/>
    <w:rsid w:val="24C3237A"/>
    <w:rsid w:val="24F20F0E"/>
    <w:rsid w:val="24F31124"/>
    <w:rsid w:val="24F52DEC"/>
    <w:rsid w:val="250D751A"/>
    <w:rsid w:val="2512743D"/>
    <w:rsid w:val="25254F04"/>
    <w:rsid w:val="252D53FE"/>
    <w:rsid w:val="25340703"/>
    <w:rsid w:val="2540524D"/>
    <w:rsid w:val="255B64DB"/>
    <w:rsid w:val="257F2A27"/>
    <w:rsid w:val="25824499"/>
    <w:rsid w:val="25863656"/>
    <w:rsid w:val="25A56B85"/>
    <w:rsid w:val="25DA7304"/>
    <w:rsid w:val="25DB38CA"/>
    <w:rsid w:val="25DE7D75"/>
    <w:rsid w:val="25E06D1D"/>
    <w:rsid w:val="25E301FD"/>
    <w:rsid w:val="25EC2D81"/>
    <w:rsid w:val="25F62EA5"/>
    <w:rsid w:val="260F3450"/>
    <w:rsid w:val="26220E0B"/>
    <w:rsid w:val="262475DA"/>
    <w:rsid w:val="26266EDE"/>
    <w:rsid w:val="26294D4A"/>
    <w:rsid w:val="26584D13"/>
    <w:rsid w:val="266016B4"/>
    <w:rsid w:val="266637E6"/>
    <w:rsid w:val="26955472"/>
    <w:rsid w:val="26A144D7"/>
    <w:rsid w:val="26A748D6"/>
    <w:rsid w:val="26B93E00"/>
    <w:rsid w:val="26BC6F14"/>
    <w:rsid w:val="26BD44AC"/>
    <w:rsid w:val="26CA2898"/>
    <w:rsid w:val="26D9646E"/>
    <w:rsid w:val="26EF349C"/>
    <w:rsid w:val="26F31053"/>
    <w:rsid w:val="26F94E1C"/>
    <w:rsid w:val="26FD0E0F"/>
    <w:rsid w:val="270432AE"/>
    <w:rsid w:val="27056EFF"/>
    <w:rsid w:val="27571E60"/>
    <w:rsid w:val="277057A2"/>
    <w:rsid w:val="27713CBF"/>
    <w:rsid w:val="277465BF"/>
    <w:rsid w:val="27870532"/>
    <w:rsid w:val="27A25E0C"/>
    <w:rsid w:val="27A92795"/>
    <w:rsid w:val="27B24A86"/>
    <w:rsid w:val="27BE4532"/>
    <w:rsid w:val="27BF657A"/>
    <w:rsid w:val="27CC1208"/>
    <w:rsid w:val="27D70CD3"/>
    <w:rsid w:val="27F56CD7"/>
    <w:rsid w:val="28101DD7"/>
    <w:rsid w:val="282554E8"/>
    <w:rsid w:val="283224C2"/>
    <w:rsid w:val="283D6936"/>
    <w:rsid w:val="28421E20"/>
    <w:rsid w:val="284648BE"/>
    <w:rsid w:val="2852444C"/>
    <w:rsid w:val="28583441"/>
    <w:rsid w:val="285E2AFD"/>
    <w:rsid w:val="2862422F"/>
    <w:rsid w:val="286D5686"/>
    <w:rsid w:val="287762B4"/>
    <w:rsid w:val="288331B7"/>
    <w:rsid w:val="28A418B6"/>
    <w:rsid w:val="28AB7521"/>
    <w:rsid w:val="28B235D5"/>
    <w:rsid w:val="28BF2B6D"/>
    <w:rsid w:val="28CB3741"/>
    <w:rsid w:val="28EC0DEC"/>
    <w:rsid w:val="28F15BC1"/>
    <w:rsid w:val="28F37471"/>
    <w:rsid w:val="290D3744"/>
    <w:rsid w:val="29117606"/>
    <w:rsid w:val="29206EB8"/>
    <w:rsid w:val="29526384"/>
    <w:rsid w:val="29595666"/>
    <w:rsid w:val="295B52D4"/>
    <w:rsid w:val="2964077F"/>
    <w:rsid w:val="29874881"/>
    <w:rsid w:val="29933CE9"/>
    <w:rsid w:val="29997B56"/>
    <w:rsid w:val="29A45F0E"/>
    <w:rsid w:val="29A64339"/>
    <w:rsid w:val="29CA0209"/>
    <w:rsid w:val="29D3056D"/>
    <w:rsid w:val="29DD7891"/>
    <w:rsid w:val="29E325E0"/>
    <w:rsid w:val="29EC132F"/>
    <w:rsid w:val="29ED7F57"/>
    <w:rsid w:val="2A077627"/>
    <w:rsid w:val="2A1434F4"/>
    <w:rsid w:val="2A1C77F0"/>
    <w:rsid w:val="2A377F67"/>
    <w:rsid w:val="2A3F69A3"/>
    <w:rsid w:val="2A452503"/>
    <w:rsid w:val="2A50472C"/>
    <w:rsid w:val="2A55140F"/>
    <w:rsid w:val="2A595D52"/>
    <w:rsid w:val="2A5B7962"/>
    <w:rsid w:val="2A670CD2"/>
    <w:rsid w:val="2A6D4BE6"/>
    <w:rsid w:val="2AA27D71"/>
    <w:rsid w:val="2AB85C35"/>
    <w:rsid w:val="2AC24188"/>
    <w:rsid w:val="2AC71ABC"/>
    <w:rsid w:val="2ACB573B"/>
    <w:rsid w:val="2ACF3FE1"/>
    <w:rsid w:val="2ADC3449"/>
    <w:rsid w:val="2ADF5715"/>
    <w:rsid w:val="2AF45F2C"/>
    <w:rsid w:val="2B100D83"/>
    <w:rsid w:val="2B187776"/>
    <w:rsid w:val="2B1A5744"/>
    <w:rsid w:val="2B1B113B"/>
    <w:rsid w:val="2B414D27"/>
    <w:rsid w:val="2B4D3342"/>
    <w:rsid w:val="2B533D48"/>
    <w:rsid w:val="2B5A647E"/>
    <w:rsid w:val="2B5F7BF9"/>
    <w:rsid w:val="2B7F57C0"/>
    <w:rsid w:val="2B813BF3"/>
    <w:rsid w:val="2B880FE2"/>
    <w:rsid w:val="2B903DDB"/>
    <w:rsid w:val="2B9E7A03"/>
    <w:rsid w:val="2BA002BE"/>
    <w:rsid w:val="2BA1496A"/>
    <w:rsid w:val="2BA936A8"/>
    <w:rsid w:val="2BAB39EE"/>
    <w:rsid w:val="2BC6122E"/>
    <w:rsid w:val="2BC61491"/>
    <w:rsid w:val="2BDA2D80"/>
    <w:rsid w:val="2BF2265C"/>
    <w:rsid w:val="2BF4585B"/>
    <w:rsid w:val="2C087980"/>
    <w:rsid w:val="2C315A5A"/>
    <w:rsid w:val="2C462D76"/>
    <w:rsid w:val="2C4B1C25"/>
    <w:rsid w:val="2C537BAF"/>
    <w:rsid w:val="2C591F11"/>
    <w:rsid w:val="2C5F19A4"/>
    <w:rsid w:val="2C734A42"/>
    <w:rsid w:val="2C8F70B7"/>
    <w:rsid w:val="2C911B65"/>
    <w:rsid w:val="2C966BDD"/>
    <w:rsid w:val="2CB75BAF"/>
    <w:rsid w:val="2CB96B01"/>
    <w:rsid w:val="2CED4FF2"/>
    <w:rsid w:val="2CF972DD"/>
    <w:rsid w:val="2D1A7386"/>
    <w:rsid w:val="2D1E6D44"/>
    <w:rsid w:val="2D1F11B0"/>
    <w:rsid w:val="2D1F7480"/>
    <w:rsid w:val="2D3D71E5"/>
    <w:rsid w:val="2D5E46C3"/>
    <w:rsid w:val="2D6428D0"/>
    <w:rsid w:val="2D6B2CA4"/>
    <w:rsid w:val="2D8A6439"/>
    <w:rsid w:val="2D8E5371"/>
    <w:rsid w:val="2D9E56F5"/>
    <w:rsid w:val="2DAB0707"/>
    <w:rsid w:val="2DB24FE9"/>
    <w:rsid w:val="2DC773DC"/>
    <w:rsid w:val="2DD10F58"/>
    <w:rsid w:val="2E0B3984"/>
    <w:rsid w:val="2E0B57C8"/>
    <w:rsid w:val="2E215E3B"/>
    <w:rsid w:val="2E5B0653"/>
    <w:rsid w:val="2E6640C7"/>
    <w:rsid w:val="2E667F96"/>
    <w:rsid w:val="2E76516C"/>
    <w:rsid w:val="2E784888"/>
    <w:rsid w:val="2E7C46F0"/>
    <w:rsid w:val="2E822240"/>
    <w:rsid w:val="2E8226AB"/>
    <w:rsid w:val="2E9941D6"/>
    <w:rsid w:val="2E9C5657"/>
    <w:rsid w:val="2EAA3626"/>
    <w:rsid w:val="2EB624C7"/>
    <w:rsid w:val="2EBC3387"/>
    <w:rsid w:val="2EBF0175"/>
    <w:rsid w:val="2EC524CF"/>
    <w:rsid w:val="2EC958F7"/>
    <w:rsid w:val="2EE90518"/>
    <w:rsid w:val="2EE95277"/>
    <w:rsid w:val="2EEF32D5"/>
    <w:rsid w:val="2EF72182"/>
    <w:rsid w:val="2EFA37C3"/>
    <w:rsid w:val="2F144969"/>
    <w:rsid w:val="2F1A0526"/>
    <w:rsid w:val="2F3C447C"/>
    <w:rsid w:val="2F636D2D"/>
    <w:rsid w:val="2F637ACD"/>
    <w:rsid w:val="2F7F748C"/>
    <w:rsid w:val="2F96550C"/>
    <w:rsid w:val="2F9B00FC"/>
    <w:rsid w:val="2FCA5A72"/>
    <w:rsid w:val="2FD065E6"/>
    <w:rsid w:val="2FD37C1B"/>
    <w:rsid w:val="2FD96870"/>
    <w:rsid w:val="2FEC7CF4"/>
    <w:rsid w:val="2FFF7C63"/>
    <w:rsid w:val="30126E38"/>
    <w:rsid w:val="30197060"/>
    <w:rsid w:val="30335F9E"/>
    <w:rsid w:val="303B3440"/>
    <w:rsid w:val="30465A7E"/>
    <w:rsid w:val="30547E42"/>
    <w:rsid w:val="30580BC9"/>
    <w:rsid w:val="305D6B4A"/>
    <w:rsid w:val="30611DC5"/>
    <w:rsid w:val="306C7826"/>
    <w:rsid w:val="30772D2A"/>
    <w:rsid w:val="308A5697"/>
    <w:rsid w:val="309208F7"/>
    <w:rsid w:val="30954C40"/>
    <w:rsid w:val="30A6151F"/>
    <w:rsid w:val="30B13826"/>
    <w:rsid w:val="30B16B98"/>
    <w:rsid w:val="30BA0EE3"/>
    <w:rsid w:val="30E3190B"/>
    <w:rsid w:val="30EE2ED1"/>
    <w:rsid w:val="30F37A89"/>
    <w:rsid w:val="30F52442"/>
    <w:rsid w:val="31132E62"/>
    <w:rsid w:val="31134BA8"/>
    <w:rsid w:val="311E2ED7"/>
    <w:rsid w:val="31223F7B"/>
    <w:rsid w:val="313777E7"/>
    <w:rsid w:val="314F69AB"/>
    <w:rsid w:val="315135A1"/>
    <w:rsid w:val="315619EE"/>
    <w:rsid w:val="315C449C"/>
    <w:rsid w:val="316B5D34"/>
    <w:rsid w:val="316F2F68"/>
    <w:rsid w:val="318D1D9D"/>
    <w:rsid w:val="319D04B6"/>
    <w:rsid w:val="319F2918"/>
    <w:rsid w:val="31AD5DBE"/>
    <w:rsid w:val="31B55F95"/>
    <w:rsid w:val="31B82709"/>
    <w:rsid w:val="31B90217"/>
    <w:rsid w:val="31D05482"/>
    <w:rsid w:val="31D81A58"/>
    <w:rsid w:val="31EB5639"/>
    <w:rsid w:val="31FD7AE8"/>
    <w:rsid w:val="32116B21"/>
    <w:rsid w:val="32384376"/>
    <w:rsid w:val="323A0C83"/>
    <w:rsid w:val="323F0457"/>
    <w:rsid w:val="32400B34"/>
    <w:rsid w:val="3258412E"/>
    <w:rsid w:val="32597305"/>
    <w:rsid w:val="327324A7"/>
    <w:rsid w:val="32906510"/>
    <w:rsid w:val="329E6876"/>
    <w:rsid w:val="32B33E9F"/>
    <w:rsid w:val="32BB7900"/>
    <w:rsid w:val="32BF24F9"/>
    <w:rsid w:val="32BF6F0A"/>
    <w:rsid w:val="32C1275D"/>
    <w:rsid w:val="32CB084C"/>
    <w:rsid w:val="32CD3E15"/>
    <w:rsid w:val="32E71098"/>
    <w:rsid w:val="32E900D1"/>
    <w:rsid w:val="32ED0F19"/>
    <w:rsid w:val="32F93C3D"/>
    <w:rsid w:val="32FB78B3"/>
    <w:rsid w:val="331C3EB9"/>
    <w:rsid w:val="33273346"/>
    <w:rsid w:val="333015F2"/>
    <w:rsid w:val="333621B3"/>
    <w:rsid w:val="333B75B5"/>
    <w:rsid w:val="33436FAF"/>
    <w:rsid w:val="334B6320"/>
    <w:rsid w:val="336B6139"/>
    <w:rsid w:val="33724077"/>
    <w:rsid w:val="33764C4D"/>
    <w:rsid w:val="338754D7"/>
    <w:rsid w:val="338C6CE3"/>
    <w:rsid w:val="338C6DD4"/>
    <w:rsid w:val="338F41B7"/>
    <w:rsid w:val="33AA01B2"/>
    <w:rsid w:val="33B2370E"/>
    <w:rsid w:val="33BA4774"/>
    <w:rsid w:val="33D72AC5"/>
    <w:rsid w:val="33D934D4"/>
    <w:rsid w:val="33E548E3"/>
    <w:rsid w:val="33E677E9"/>
    <w:rsid w:val="33EE0BC9"/>
    <w:rsid w:val="33FE2F6A"/>
    <w:rsid w:val="340E07E5"/>
    <w:rsid w:val="341A42ED"/>
    <w:rsid w:val="34235BF7"/>
    <w:rsid w:val="342656F7"/>
    <w:rsid w:val="3427305B"/>
    <w:rsid w:val="343A070C"/>
    <w:rsid w:val="34412CC8"/>
    <w:rsid w:val="346A767E"/>
    <w:rsid w:val="349E158D"/>
    <w:rsid w:val="349F158C"/>
    <w:rsid w:val="34A03917"/>
    <w:rsid w:val="34A34BE1"/>
    <w:rsid w:val="34B070BC"/>
    <w:rsid w:val="34B85A23"/>
    <w:rsid w:val="34BE44CC"/>
    <w:rsid w:val="34C225DC"/>
    <w:rsid w:val="34CA4168"/>
    <w:rsid w:val="34E2486A"/>
    <w:rsid w:val="34E253C5"/>
    <w:rsid w:val="34E74FC0"/>
    <w:rsid w:val="34FC5C28"/>
    <w:rsid w:val="351228A2"/>
    <w:rsid w:val="35170ACA"/>
    <w:rsid w:val="3517691A"/>
    <w:rsid w:val="352B1364"/>
    <w:rsid w:val="352F71B1"/>
    <w:rsid w:val="353A31EC"/>
    <w:rsid w:val="353E3CAA"/>
    <w:rsid w:val="354918EA"/>
    <w:rsid w:val="35546661"/>
    <w:rsid w:val="356A1512"/>
    <w:rsid w:val="35777012"/>
    <w:rsid w:val="357B7A73"/>
    <w:rsid w:val="35811281"/>
    <w:rsid w:val="358C5FA8"/>
    <w:rsid w:val="358E4074"/>
    <w:rsid w:val="35A63294"/>
    <w:rsid w:val="35A65B84"/>
    <w:rsid w:val="35B013B6"/>
    <w:rsid w:val="35B93AAE"/>
    <w:rsid w:val="35BF2683"/>
    <w:rsid w:val="35C103D1"/>
    <w:rsid w:val="35C15DF1"/>
    <w:rsid w:val="35E118A6"/>
    <w:rsid w:val="35E42132"/>
    <w:rsid w:val="35E45E68"/>
    <w:rsid w:val="35F20115"/>
    <w:rsid w:val="35F545A1"/>
    <w:rsid w:val="35FE5AFB"/>
    <w:rsid w:val="36031169"/>
    <w:rsid w:val="36074A7F"/>
    <w:rsid w:val="361E0DB7"/>
    <w:rsid w:val="364B412E"/>
    <w:rsid w:val="365612FC"/>
    <w:rsid w:val="365E72E1"/>
    <w:rsid w:val="366643CD"/>
    <w:rsid w:val="36706EBA"/>
    <w:rsid w:val="36726769"/>
    <w:rsid w:val="36771587"/>
    <w:rsid w:val="36810318"/>
    <w:rsid w:val="3684043C"/>
    <w:rsid w:val="368D7406"/>
    <w:rsid w:val="36923549"/>
    <w:rsid w:val="36976519"/>
    <w:rsid w:val="36AA582A"/>
    <w:rsid w:val="36AD4AB4"/>
    <w:rsid w:val="36B72512"/>
    <w:rsid w:val="36B75FBF"/>
    <w:rsid w:val="36BD0C45"/>
    <w:rsid w:val="36BD3769"/>
    <w:rsid w:val="36BF4BF9"/>
    <w:rsid w:val="36D339C9"/>
    <w:rsid w:val="36D5455A"/>
    <w:rsid w:val="36E60E2C"/>
    <w:rsid w:val="36E712AF"/>
    <w:rsid w:val="36EB2EA4"/>
    <w:rsid w:val="36F14914"/>
    <w:rsid w:val="36FA57A2"/>
    <w:rsid w:val="371C348F"/>
    <w:rsid w:val="373C177F"/>
    <w:rsid w:val="37485159"/>
    <w:rsid w:val="374D2157"/>
    <w:rsid w:val="376E25E3"/>
    <w:rsid w:val="37A44F01"/>
    <w:rsid w:val="37B75201"/>
    <w:rsid w:val="37BF7F1B"/>
    <w:rsid w:val="37C957BD"/>
    <w:rsid w:val="37D775A3"/>
    <w:rsid w:val="37DB26EA"/>
    <w:rsid w:val="37E00298"/>
    <w:rsid w:val="37FC0F70"/>
    <w:rsid w:val="381A5700"/>
    <w:rsid w:val="38205DBB"/>
    <w:rsid w:val="3828495C"/>
    <w:rsid w:val="38375FDE"/>
    <w:rsid w:val="384B106C"/>
    <w:rsid w:val="385A2DBA"/>
    <w:rsid w:val="386167A6"/>
    <w:rsid w:val="38733487"/>
    <w:rsid w:val="38745299"/>
    <w:rsid w:val="387A2233"/>
    <w:rsid w:val="387E6C93"/>
    <w:rsid w:val="3881324F"/>
    <w:rsid w:val="388776E9"/>
    <w:rsid w:val="38970DE7"/>
    <w:rsid w:val="389E3C18"/>
    <w:rsid w:val="38B302F9"/>
    <w:rsid w:val="38B45501"/>
    <w:rsid w:val="38D00226"/>
    <w:rsid w:val="38F12CD3"/>
    <w:rsid w:val="38F94775"/>
    <w:rsid w:val="39044822"/>
    <w:rsid w:val="390C5F17"/>
    <w:rsid w:val="39101954"/>
    <w:rsid w:val="391124C7"/>
    <w:rsid w:val="391652B8"/>
    <w:rsid w:val="39193641"/>
    <w:rsid w:val="391A70F9"/>
    <w:rsid w:val="392766C3"/>
    <w:rsid w:val="392971ED"/>
    <w:rsid w:val="39325651"/>
    <w:rsid w:val="3937192D"/>
    <w:rsid w:val="393A0D92"/>
    <w:rsid w:val="39401C85"/>
    <w:rsid w:val="39403B26"/>
    <w:rsid w:val="396D0821"/>
    <w:rsid w:val="398C2174"/>
    <w:rsid w:val="399A3BF6"/>
    <w:rsid w:val="39B00FD8"/>
    <w:rsid w:val="39B030CD"/>
    <w:rsid w:val="39B107A3"/>
    <w:rsid w:val="39B86180"/>
    <w:rsid w:val="39CB7AAE"/>
    <w:rsid w:val="39D47335"/>
    <w:rsid w:val="39EA6199"/>
    <w:rsid w:val="39F0705B"/>
    <w:rsid w:val="39F37859"/>
    <w:rsid w:val="3A1B34E6"/>
    <w:rsid w:val="3A371A4F"/>
    <w:rsid w:val="3A57176C"/>
    <w:rsid w:val="3A616C61"/>
    <w:rsid w:val="3A664E0C"/>
    <w:rsid w:val="3A764800"/>
    <w:rsid w:val="3A7A6D13"/>
    <w:rsid w:val="3A837043"/>
    <w:rsid w:val="3A872856"/>
    <w:rsid w:val="3A9E3272"/>
    <w:rsid w:val="3AA1258D"/>
    <w:rsid w:val="3ABF4B2E"/>
    <w:rsid w:val="3ACC6777"/>
    <w:rsid w:val="3AD03B74"/>
    <w:rsid w:val="3AF9753B"/>
    <w:rsid w:val="3B036F3F"/>
    <w:rsid w:val="3B15122D"/>
    <w:rsid w:val="3B19756F"/>
    <w:rsid w:val="3B1A6269"/>
    <w:rsid w:val="3B1D03A4"/>
    <w:rsid w:val="3B1E33AF"/>
    <w:rsid w:val="3B3748BA"/>
    <w:rsid w:val="3B3763D1"/>
    <w:rsid w:val="3B382C49"/>
    <w:rsid w:val="3B3C7592"/>
    <w:rsid w:val="3B582CD0"/>
    <w:rsid w:val="3B821E17"/>
    <w:rsid w:val="3B852239"/>
    <w:rsid w:val="3BB24CB8"/>
    <w:rsid w:val="3BBD600A"/>
    <w:rsid w:val="3BC10D2A"/>
    <w:rsid w:val="3BCF73D6"/>
    <w:rsid w:val="3BDE5D52"/>
    <w:rsid w:val="3BE127FB"/>
    <w:rsid w:val="3BE1540E"/>
    <w:rsid w:val="3BE61A58"/>
    <w:rsid w:val="3BF87391"/>
    <w:rsid w:val="3BFE13DD"/>
    <w:rsid w:val="3C071C37"/>
    <w:rsid w:val="3C072AE3"/>
    <w:rsid w:val="3C08003D"/>
    <w:rsid w:val="3C1C08F2"/>
    <w:rsid w:val="3C2F6E1E"/>
    <w:rsid w:val="3C4E34E1"/>
    <w:rsid w:val="3C4F64BA"/>
    <w:rsid w:val="3C560EC6"/>
    <w:rsid w:val="3C5A3195"/>
    <w:rsid w:val="3C6B7B98"/>
    <w:rsid w:val="3C6C2145"/>
    <w:rsid w:val="3C824F29"/>
    <w:rsid w:val="3C860462"/>
    <w:rsid w:val="3C882362"/>
    <w:rsid w:val="3C993AFB"/>
    <w:rsid w:val="3C9B6520"/>
    <w:rsid w:val="3CB15A86"/>
    <w:rsid w:val="3CDA245A"/>
    <w:rsid w:val="3CF6548B"/>
    <w:rsid w:val="3CFA5A93"/>
    <w:rsid w:val="3CFE4211"/>
    <w:rsid w:val="3D0551DC"/>
    <w:rsid w:val="3D086D50"/>
    <w:rsid w:val="3D0B08E8"/>
    <w:rsid w:val="3D0D2ECA"/>
    <w:rsid w:val="3D1A219F"/>
    <w:rsid w:val="3D1B5047"/>
    <w:rsid w:val="3D1C2C39"/>
    <w:rsid w:val="3D1E06B7"/>
    <w:rsid w:val="3D33448E"/>
    <w:rsid w:val="3D445E6E"/>
    <w:rsid w:val="3D4E5B18"/>
    <w:rsid w:val="3D4F6AA6"/>
    <w:rsid w:val="3D520A02"/>
    <w:rsid w:val="3D647481"/>
    <w:rsid w:val="3D6C20D8"/>
    <w:rsid w:val="3D716309"/>
    <w:rsid w:val="3D7734E1"/>
    <w:rsid w:val="3D85585D"/>
    <w:rsid w:val="3D884474"/>
    <w:rsid w:val="3DB84736"/>
    <w:rsid w:val="3DCE6284"/>
    <w:rsid w:val="3DE5476D"/>
    <w:rsid w:val="3DEF1831"/>
    <w:rsid w:val="3DEF5790"/>
    <w:rsid w:val="3DF11F8B"/>
    <w:rsid w:val="3E351CD4"/>
    <w:rsid w:val="3E352B05"/>
    <w:rsid w:val="3E3B7BE9"/>
    <w:rsid w:val="3E4759CE"/>
    <w:rsid w:val="3E4F28BB"/>
    <w:rsid w:val="3E5D553A"/>
    <w:rsid w:val="3E654706"/>
    <w:rsid w:val="3E697C01"/>
    <w:rsid w:val="3E6A2797"/>
    <w:rsid w:val="3E7916CC"/>
    <w:rsid w:val="3E7D7A8C"/>
    <w:rsid w:val="3E8B37AD"/>
    <w:rsid w:val="3EAD3CB5"/>
    <w:rsid w:val="3EC51700"/>
    <w:rsid w:val="3ECC5827"/>
    <w:rsid w:val="3ECE0F80"/>
    <w:rsid w:val="3ED45E36"/>
    <w:rsid w:val="3EDA0523"/>
    <w:rsid w:val="3EDE09C2"/>
    <w:rsid w:val="3F012929"/>
    <w:rsid w:val="3F130E4D"/>
    <w:rsid w:val="3F1A0415"/>
    <w:rsid w:val="3F2969DF"/>
    <w:rsid w:val="3F304414"/>
    <w:rsid w:val="3F484151"/>
    <w:rsid w:val="3F70311A"/>
    <w:rsid w:val="3F83115A"/>
    <w:rsid w:val="3F88125D"/>
    <w:rsid w:val="3F8F0882"/>
    <w:rsid w:val="3F8F3E58"/>
    <w:rsid w:val="3F933322"/>
    <w:rsid w:val="3FA04D61"/>
    <w:rsid w:val="3FA943DB"/>
    <w:rsid w:val="3FCC30F4"/>
    <w:rsid w:val="4004722B"/>
    <w:rsid w:val="40146CE2"/>
    <w:rsid w:val="40226F03"/>
    <w:rsid w:val="40253E77"/>
    <w:rsid w:val="40377EB9"/>
    <w:rsid w:val="40474A15"/>
    <w:rsid w:val="404B5A53"/>
    <w:rsid w:val="404B7DF9"/>
    <w:rsid w:val="405C5F9C"/>
    <w:rsid w:val="40625E21"/>
    <w:rsid w:val="40630CCA"/>
    <w:rsid w:val="40646FF5"/>
    <w:rsid w:val="406941BC"/>
    <w:rsid w:val="406A092D"/>
    <w:rsid w:val="407A6407"/>
    <w:rsid w:val="407F1DD7"/>
    <w:rsid w:val="4083154C"/>
    <w:rsid w:val="40880C4C"/>
    <w:rsid w:val="4091725F"/>
    <w:rsid w:val="40A034AA"/>
    <w:rsid w:val="40A610D2"/>
    <w:rsid w:val="40A81E03"/>
    <w:rsid w:val="40B66F22"/>
    <w:rsid w:val="40C3044C"/>
    <w:rsid w:val="40CB2DD6"/>
    <w:rsid w:val="40DA4429"/>
    <w:rsid w:val="40DD5137"/>
    <w:rsid w:val="40E715FE"/>
    <w:rsid w:val="40F05600"/>
    <w:rsid w:val="40F06445"/>
    <w:rsid w:val="40F31238"/>
    <w:rsid w:val="40F83814"/>
    <w:rsid w:val="40FC3891"/>
    <w:rsid w:val="410446C0"/>
    <w:rsid w:val="413C7A2C"/>
    <w:rsid w:val="41444410"/>
    <w:rsid w:val="414836C7"/>
    <w:rsid w:val="41530821"/>
    <w:rsid w:val="41553EBF"/>
    <w:rsid w:val="415741DA"/>
    <w:rsid w:val="415B70CC"/>
    <w:rsid w:val="416F4992"/>
    <w:rsid w:val="41704DF6"/>
    <w:rsid w:val="41AD4F91"/>
    <w:rsid w:val="41DB088C"/>
    <w:rsid w:val="41E02DF2"/>
    <w:rsid w:val="41E66C6A"/>
    <w:rsid w:val="4200449D"/>
    <w:rsid w:val="42052900"/>
    <w:rsid w:val="42060F45"/>
    <w:rsid w:val="4206154A"/>
    <w:rsid w:val="420741FB"/>
    <w:rsid w:val="420B1598"/>
    <w:rsid w:val="4214731D"/>
    <w:rsid w:val="42152395"/>
    <w:rsid w:val="421C2E12"/>
    <w:rsid w:val="422A6B4C"/>
    <w:rsid w:val="42351B89"/>
    <w:rsid w:val="423A3BCC"/>
    <w:rsid w:val="42453233"/>
    <w:rsid w:val="42454A70"/>
    <w:rsid w:val="424E54FB"/>
    <w:rsid w:val="424E57D2"/>
    <w:rsid w:val="4258464E"/>
    <w:rsid w:val="42696C5C"/>
    <w:rsid w:val="426B42FB"/>
    <w:rsid w:val="426C1C40"/>
    <w:rsid w:val="427117B7"/>
    <w:rsid w:val="428319F4"/>
    <w:rsid w:val="4295102B"/>
    <w:rsid w:val="429709B2"/>
    <w:rsid w:val="42984281"/>
    <w:rsid w:val="429E32B2"/>
    <w:rsid w:val="42A11E1E"/>
    <w:rsid w:val="42A72071"/>
    <w:rsid w:val="42A72441"/>
    <w:rsid w:val="42B26C49"/>
    <w:rsid w:val="42C62596"/>
    <w:rsid w:val="42CE7842"/>
    <w:rsid w:val="42D06F80"/>
    <w:rsid w:val="42D32459"/>
    <w:rsid w:val="42DC38BA"/>
    <w:rsid w:val="42DE174F"/>
    <w:rsid w:val="42FC76D0"/>
    <w:rsid w:val="430055FF"/>
    <w:rsid w:val="430E21EC"/>
    <w:rsid w:val="43145A83"/>
    <w:rsid w:val="43190A36"/>
    <w:rsid w:val="4323028E"/>
    <w:rsid w:val="43351641"/>
    <w:rsid w:val="4338133D"/>
    <w:rsid w:val="433A6FE6"/>
    <w:rsid w:val="433C473A"/>
    <w:rsid w:val="43480868"/>
    <w:rsid w:val="4350713C"/>
    <w:rsid w:val="43515C2F"/>
    <w:rsid w:val="435968D0"/>
    <w:rsid w:val="436653E0"/>
    <w:rsid w:val="436A7C64"/>
    <w:rsid w:val="436B7824"/>
    <w:rsid w:val="437531CC"/>
    <w:rsid w:val="437E2766"/>
    <w:rsid w:val="43835E42"/>
    <w:rsid w:val="438735F2"/>
    <w:rsid w:val="43A0017C"/>
    <w:rsid w:val="43B40BEA"/>
    <w:rsid w:val="43BB30E7"/>
    <w:rsid w:val="43BC344E"/>
    <w:rsid w:val="43C4431A"/>
    <w:rsid w:val="440B6FFD"/>
    <w:rsid w:val="440D4A97"/>
    <w:rsid w:val="44144553"/>
    <w:rsid w:val="44300956"/>
    <w:rsid w:val="44327FFA"/>
    <w:rsid w:val="444523B6"/>
    <w:rsid w:val="44487EF3"/>
    <w:rsid w:val="44520A66"/>
    <w:rsid w:val="445A0066"/>
    <w:rsid w:val="44604B4B"/>
    <w:rsid w:val="446348A0"/>
    <w:rsid w:val="446623F8"/>
    <w:rsid w:val="4479684A"/>
    <w:rsid w:val="44955658"/>
    <w:rsid w:val="44B8188A"/>
    <w:rsid w:val="44B951CC"/>
    <w:rsid w:val="44BC60C7"/>
    <w:rsid w:val="44CD14E0"/>
    <w:rsid w:val="44EC5894"/>
    <w:rsid w:val="44F20B0B"/>
    <w:rsid w:val="44F56185"/>
    <w:rsid w:val="45096A16"/>
    <w:rsid w:val="45154021"/>
    <w:rsid w:val="451D770C"/>
    <w:rsid w:val="452A777C"/>
    <w:rsid w:val="452E5F4C"/>
    <w:rsid w:val="45355C72"/>
    <w:rsid w:val="45387D09"/>
    <w:rsid w:val="453D0478"/>
    <w:rsid w:val="45525011"/>
    <w:rsid w:val="455A6994"/>
    <w:rsid w:val="455C54DB"/>
    <w:rsid w:val="45612018"/>
    <w:rsid w:val="45736516"/>
    <w:rsid w:val="45794A8F"/>
    <w:rsid w:val="458946E9"/>
    <w:rsid w:val="458A5F54"/>
    <w:rsid w:val="45936A17"/>
    <w:rsid w:val="45A461FA"/>
    <w:rsid w:val="45A46E3A"/>
    <w:rsid w:val="45A47C0E"/>
    <w:rsid w:val="45A81828"/>
    <w:rsid w:val="45E5590C"/>
    <w:rsid w:val="45F153C1"/>
    <w:rsid w:val="4601186F"/>
    <w:rsid w:val="4616137F"/>
    <w:rsid w:val="462320A1"/>
    <w:rsid w:val="46470AD7"/>
    <w:rsid w:val="464B3950"/>
    <w:rsid w:val="46577FD6"/>
    <w:rsid w:val="46681380"/>
    <w:rsid w:val="467264BC"/>
    <w:rsid w:val="468D47EC"/>
    <w:rsid w:val="469040C6"/>
    <w:rsid w:val="46BB1DC2"/>
    <w:rsid w:val="46BB3D53"/>
    <w:rsid w:val="46BB47D4"/>
    <w:rsid w:val="46C56837"/>
    <w:rsid w:val="46D21E1C"/>
    <w:rsid w:val="46D617C3"/>
    <w:rsid w:val="46D64665"/>
    <w:rsid w:val="46D955A7"/>
    <w:rsid w:val="46DB4144"/>
    <w:rsid w:val="46E9032F"/>
    <w:rsid w:val="46F472E3"/>
    <w:rsid w:val="47133957"/>
    <w:rsid w:val="472E16A2"/>
    <w:rsid w:val="473154FF"/>
    <w:rsid w:val="47320520"/>
    <w:rsid w:val="473236C0"/>
    <w:rsid w:val="4749536F"/>
    <w:rsid w:val="474C596E"/>
    <w:rsid w:val="47515C59"/>
    <w:rsid w:val="476632D7"/>
    <w:rsid w:val="476B585D"/>
    <w:rsid w:val="47711B93"/>
    <w:rsid w:val="477C70E1"/>
    <w:rsid w:val="47A07E0C"/>
    <w:rsid w:val="47AC7B82"/>
    <w:rsid w:val="47CB3273"/>
    <w:rsid w:val="47F40252"/>
    <w:rsid w:val="48020B05"/>
    <w:rsid w:val="4802724F"/>
    <w:rsid w:val="48070FFC"/>
    <w:rsid w:val="480928DB"/>
    <w:rsid w:val="480B2301"/>
    <w:rsid w:val="48282A67"/>
    <w:rsid w:val="483D056E"/>
    <w:rsid w:val="484364C7"/>
    <w:rsid w:val="48482E61"/>
    <w:rsid w:val="4857632E"/>
    <w:rsid w:val="485D6909"/>
    <w:rsid w:val="48621D21"/>
    <w:rsid w:val="4870272E"/>
    <w:rsid w:val="487E0564"/>
    <w:rsid w:val="488071D0"/>
    <w:rsid w:val="48922DE9"/>
    <w:rsid w:val="48B813D3"/>
    <w:rsid w:val="48D34920"/>
    <w:rsid w:val="48E419EA"/>
    <w:rsid w:val="48EE3C22"/>
    <w:rsid w:val="48F16E9D"/>
    <w:rsid w:val="49063722"/>
    <w:rsid w:val="49140C5D"/>
    <w:rsid w:val="49144846"/>
    <w:rsid w:val="4921625B"/>
    <w:rsid w:val="493D106F"/>
    <w:rsid w:val="494346BD"/>
    <w:rsid w:val="49441C4D"/>
    <w:rsid w:val="494B2033"/>
    <w:rsid w:val="49735ED5"/>
    <w:rsid w:val="49832DD7"/>
    <w:rsid w:val="49874521"/>
    <w:rsid w:val="49897289"/>
    <w:rsid w:val="49907900"/>
    <w:rsid w:val="499E007A"/>
    <w:rsid w:val="499E503D"/>
    <w:rsid w:val="49A351ED"/>
    <w:rsid w:val="49AD2ABD"/>
    <w:rsid w:val="49DC7715"/>
    <w:rsid w:val="49E4784D"/>
    <w:rsid w:val="4A023139"/>
    <w:rsid w:val="4A196361"/>
    <w:rsid w:val="4A234554"/>
    <w:rsid w:val="4A3114ED"/>
    <w:rsid w:val="4A434656"/>
    <w:rsid w:val="4A545C27"/>
    <w:rsid w:val="4A560166"/>
    <w:rsid w:val="4A5A4A4C"/>
    <w:rsid w:val="4A683E01"/>
    <w:rsid w:val="4A69274D"/>
    <w:rsid w:val="4A796AC9"/>
    <w:rsid w:val="4A7B576F"/>
    <w:rsid w:val="4A7F37F3"/>
    <w:rsid w:val="4A99785B"/>
    <w:rsid w:val="4A9A2385"/>
    <w:rsid w:val="4AA11D0D"/>
    <w:rsid w:val="4AA27B45"/>
    <w:rsid w:val="4AA912F0"/>
    <w:rsid w:val="4AAC7F0C"/>
    <w:rsid w:val="4AC07B51"/>
    <w:rsid w:val="4AE35935"/>
    <w:rsid w:val="4AE472ED"/>
    <w:rsid w:val="4AF561A9"/>
    <w:rsid w:val="4AF94859"/>
    <w:rsid w:val="4B040BA5"/>
    <w:rsid w:val="4B4D6089"/>
    <w:rsid w:val="4B5160DF"/>
    <w:rsid w:val="4B6750DB"/>
    <w:rsid w:val="4B92484B"/>
    <w:rsid w:val="4B9746DA"/>
    <w:rsid w:val="4B9A26CE"/>
    <w:rsid w:val="4BA30BD1"/>
    <w:rsid w:val="4BC17A7B"/>
    <w:rsid w:val="4BDC75E6"/>
    <w:rsid w:val="4BDE11FB"/>
    <w:rsid w:val="4BE9772A"/>
    <w:rsid w:val="4BF47F1C"/>
    <w:rsid w:val="4C1D074C"/>
    <w:rsid w:val="4C310C98"/>
    <w:rsid w:val="4C360232"/>
    <w:rsid w:val="4C425F39"/>
    <w:rsid w:val="4C461407"/>
    <w:rsid w:val="4C4A0649"/>
    <w:rsid w:val="4C507922"/>
    <w:rsid w:val="4C5254B2"/>
    <w:rsid w:val="4C671963"/>
    <w:rsid w:val="4C690E1D"/>
    <w:rsid w:val="4C7E5ECA"/>
    <w:rsid w:val="4C876AA5"/>
    <w:rsid w:val="4CC17EE8"/>
    <w:rsid w:val="4CC44941"/>
    <w:rsid w:val="4CCF21AC"/>
    <w:rsid w:val="4CD12351"/>
    <w:rsid w:val="4CD62394"/>
    <w:rsid w:val="4CD82304"/>
    <w:rsid w:val="4CE77035"/>
    <w:rsid w:val="4CE91E3F"/>
    <w:rsid w:val="4CEB6128"/>
    <w:rsid w:val="4CF33AF7"/>
    <w:rsid w:val="4CFC1142"/>
    <w:rsid w:val="4D03786F"/>
    <w:rsid w:val="4D096F86"/>
    <w:rsid w:val="4D0E00FB"/>
    <w:rsid w:val="4D1505B8"/>
    <w:rsid w:val="4D176606"/>
    <w:rsid w:val="4D1D61BE"/>
    <w:rsid w:val="4D2039B0"/>
    <w:rsid w:val="4D2220C6"/>
    <w:rsid w:val="4D2510A8"/>
    <w:rsid w:val="4D344388"/>
    <w:rsid w:val="4D4C427E"/>
    <w:rsid w:val="4D663971"/>
    <w:rsid w:val="4D6D301E"/>
    <w:rsid w:val="4D7D63A8"/>
    <w:rsid w:val="4D8A59D7"/>
    <w:rsid w:val="4D8C114B"/>
    <w:rsid w:val="4D99113D"/>
    <w:rsid w:val="4DA008E7"/>
    <w:rsid w:val="4DA60927"/>
    <w:rsid w:val="4DAF572C"/>
    <w:rsid w:val="4DB946A2"/>
    <w:rsid w:val="4DC9194B"/>
    <w:rsid w:val="4DC9775E"/>
    <w:rsid w:val="4DD91E76"/>
    <w:rsid w:val="4DEB51F1"/>
    <w:rsid w:val="4DEC4FB0"/>
    <w:rsid w:val="4DFD10BA"/>
    <w:rsid w:val="4E071056"/>
    <w:rsid w:val="4E075D8A"/>
    <w:rsid w:val="4E0833CC"/>
    <w:rsid w:val="4E123C48"/>
    <w:rsid w:val="4E363153"/>
    <w:rsid w:val="4E380F7C"/>
    <w:rsid w:val="4E3C5ACC"/>
    <w:rsid w:val="4E404187"/>
    <w:rsid w:val="4E49353A"/>
    <w:rsid w:val="4E4F520A"/>
    <w:rsid w:val="4E540D22"/>
    <w:rsid w:val="4E59568A"/>
    <w:rsid w:val="4E5A603D"/>
    <w:rsid w:val="4E5B77D1"/>
    <w:rsid w:val="4E5F162F"/>
    <w:rsid w:val="4E634CD9"/>
    <w:rsid w:val="4E6525CD"/>
    <w:rsid w:val="4E7229E3"/>
    <w:rsid w:val="4E7A6BF3"/>
    <w:rsid w:val="4E920558"/>
    <w:rsid w:val="4E944358"/>
    <w:rsid w:val="4E9A7ABF"/>
    <w:rsid w:val="4EB71886"/>
    <w:rsid w:val="4EBB3D43"/>
    <w:rsid w:val="4EC00FAD"/>
    <w:rsid w:val="4ED61624"/>
    <w:rsid w:val="4ED93CCB"/>
    <w:rsid w:val="4EE501CD"/>
    <w:rsid w:val="4EE619B7"/>
    <w:rsid w:val="4EF30FA9"/>
    <w:rsid w:val="4EF8150F"/>
    <w:rsid w:val="4F041D07"/>
    <w:rsid w:val="4F0533B2"/>
    <w:rsid w:val="4F131566"/>
    <w:rsid w:val="4F18319B"/>
    <w:rsid w:val="4F19058C"/>
    <w:rsid w:val="4F3019D1"/>
    <w:rsid w:val="4F605406"/>
    <w:rsid w:val="4F610FE6"/>
    <w:rsid w:val="4F6A1B49"/>
    <w:rsid w:val="4F6F116F"/>
    <w:rsid w:val="4F8A7551"/>
    <w:rsid w:val="4F9843DC"/>
    <w:rsid w:val="4FA114AB"/>
    <w:rsid w:val="4FA846CB"/>
    <w:rsid w:val="4FA84FC9"/>
    <w:rsid w:val="4FB62605"/>
    <w:rsid w:val="4FB96D03"/>
    <w:rsid w:val="4FC62A8C"/>
    <w:rsid w:val="4FDB45F9"/>
    <w:rsid w:val="4FDB76D5"/>
    <w:rsid w:val="4FE20F0D"/>
    <w:rsid w:val="4FE51552"/>
    <w:rsid w:val="4FFB3EC5"/>
    <w:rsid w:val="501318D7"/>
    <w:rsid w:val="502A2D96"/>
    <w:rsid w:val="502A40F3"/>
    <w:rsid w:val="5033143F"/>
    <w:rsid w:val="50416B4F"/>
    <w:rsid w:val="50466E65"/>
    <w:rsid w:val="504906FA"/>
    <w:rsid w:val="504E49CE"/>
    <w:rsid w:val="50504C4B"/>
    <w:rsid w:val="50576E2F"/>
    <w:rsid w:val="505D51B8"/>
    <w:rsid w:val="50952D6A"/>
    <w:rsid w:val="50990AFA"/>
    <w:rsid w:val="509C6E7C"/>
    <w:rsid w:val="50A050A8"/>
    <w:rsid w:val="50A7016E"/>
    <w:rsid w:val="50A8121E"/>
    <w:rsid w:val="50B53513"/>
    <w:rsid w:val="50BF5B2D"/>
    <w:rsid w:val="50CA0C1E"/>
    <w:rsid w:val="50CC0E13"/>
    <w:rsid w:val="50DF0E3D"/>
    <w:rsid w:val="50E67B8A"/>
    <w:rsid w:val="511641BA"/>
    <w:rsid w:val="512D3114"/>
    <w:rsid w:val="512F6823"/>
    <w:rsid w:val="51343BF1"/>
    <w:rsid w:val="51351EDF"/>
    <w:rsid w:val="5162104E"/>
    <w:rsid w:val="517375F9"/>
    <w:rsid w:val="517B1A74"/>
    <w:rsid w:val="51902CA1"/>
    <w:rsid w:val="519E24DF"/>
    <w:rsid w:val="51A24FBC"/>
    <w:rsid w:val="51A80D60"/>
    <w:rsid w:val="51A90A0F"/>
    <w:rsid w:val="51BE3CBA"/>
    <w:rsid w:val="51C14C16"/>
    <w:rsid w:val="51C23F05"/>
    <w:rsid w:val="51D97FE0"/>
    <w:rsid w:val="51DD6BC9"/>
    <w:rsid w:val="51E21858"/>
    <w:rsid w:val="51E7407F"/>
    <w:rsid w:val="51EB1FB2"/>
    <w:rsid w:val="51F341D9"/>
    <w:rsid w:val="51F55CF8"/>
    <w:rsid w:val="52174292"/>
    <w:rsid w:val="521D2162"/>
    <w:rsid w:val="5222631E"/>
    <w:rsid w:val="5232433A"/>
    <w:rsid w:val="52325621"/>
    <w:rsid w:val="52372126"/>
    <w:rsid w:val="52416969"/>
    <w:rsid w:val="52515613"/>
    <w:rsid w:val="5263591C"/>
    <w:rsid w:val="5271220B"/>
    <w:rsid w:val="527252B8"/>
    <w:rsid w:val="52797FFB"/>
    <w:rsid w:val="5284297F"/>
    <w:rsid w:val="529606DF"/>
    <w:rsid w:val="52A94A5B"/>
    <w:rsid w:val="52C25047"/>
    <w:rsid w:val="52D15237"/>
    <w:rsid w:val="52DA3931"/>
    <w:rsid w:val="52E77A6D"/>
    <w:rsid w:val="52E86232"/>
    <w:rsid w:val="52EB7F7B"/>
    <w:rsid w:val="52F74E5F"/>
    <w:rsid w:val="531118D0"/>
    <w:rsid w:val="532B1A4B"/>
    <w:rsid w:val="532B680C"/>
    <w:rsid w:val="5341042C"/>
    <w:rsid w:val="534427CF"/>
    <w:rsid w:val="53461E0E"/>
    <w:rsid w:val="53782342"/>
    <w:rsid w:val="538921B1"/>
    <w:rsid w:val="53915852"/>
    <w:rsid w:val="539B0D9B"/>
    <w:rsid w:val="53A039CC"/>
    <w:rsid w:val="53A1505A"/>
    <w:rsid w:val="53A45F15"/>
    <w:rsid w:val="53A513DD"/>
    <w:rsid w:val="53BE1D50"/>
    <w:rsid w:val="53C019CF"/>
    <w:rsid w:val="53CA67FE"/>
    <w:rsid w:val="53CD5E09"/>
    <w:rsid w:val="53D54CF9"/>
    <w:rsid w:val="53FC752F"/>
    <w:rsid w:val="54052846"/>
    <w:rsid w:val="54063E08"/>
    <w:rsid w:val="54081C2B"/>
    <w:rsid w:val="54083D51"/>
    <w:rsid w:val="540C74B0"/>
    <w:rsid w:val="541409EE"/>
    <w:rsid w:val="54192166"/>
    <w:rsid w:val="543437E8"/>
    <w:rsid w:val="545008AF"/>
    <w:rsid w:val="54543890"/>
    <w:rsid w:val="545E483F"/>
    <w:rsid w:val="545E6407"/>
    <w:rsid w:val="54643604"/>
    <w:rsid w:val="547B3F22"/>
    <w:rsid w:val="548668AB"/>
    <w:rsid w:val="549E1D1C"/>
    <w:rsid w:val="54AA1787"/>
    <w:rsid w:val="54BD01B0"/>
    <w:rsid w:val="54C722B7"/>
    <w:rsid w:val="54D0167A"/>
    <w:rsid w:val="54D801BD"/>
    <w:rsid w:val="54F73313"/>
    <w:rsid w:val="54F80955"/>
    <w:rsid w:val="54FB1C38"/>
    <w:rsid w:val="54FE00DA"/>
    <w:rsid w:val="55005219"/>
    <w:rsid w:val="550363A3"/>
    <w:rsid w:val="551F37D5"/>
    <w:rsid w:val="554023AF"/>
    <w:rsid w:val="55476B79"/>
    <w:rsid w:val="555170A7"/>
    <w:rsid w:val="55576BBB"/>
    <w:rsid w:val="5559256A"/>
    <w:rsid w:val="5576384B"/>
    <w:rsid w:val="5587536D"/>
    <w:rsid w:val="558E7985"/>
    <w:rsid w:val="55972826"/>
    <w:rsid w:val="559B174B"/>
    <w:rsid w:val="559B2945"/>
    <w:rsid w:val="55A44430"/>
    <w:rsid w:val="55A6450E"/>
    <w:rsid w:val="55C21267"/>
    <w:rsid w:val="55C416C0"/>
    <w:rsid w:val="55CE0CF4"/>
    <w:rsid w:val="55D77FE9"/>
    <w:rsid w:val="55D823EC"/>
    <w:rsid w:val="55E34EDA"/>
    <w:rsid w:val="55E354D7"/>
    <w:rsid w:val="55F01196"/>
    <w:rsid w:val="55F952DA"/>
    <w:rsid w:val="55F96BF1"/>
    <w:rsid w:val="561908B4"/>
    <w:rsid w:val="562C38FC"/>
    <w:rsid w:val="56530930"/>
    <w:rsid w:val="56546A30"/>
    <w:rsid w:val="565718E8"/>
    <w:rsid w:val="56595019"/>
    <w:rsid w:val="566521F1"/>
    <w:rsid w:val="56766BB5"/>
    <w:rsid w:val="567A1AE3"/>
    <w:rsid w:val="568538AF"/>
    <w:rsid w:val="56877C56"/>
    <w:rsid w:val="568F583E"/>
    <w:rsid w:val="56A353DB"/>
    <w:rsid w:val="56B22A9C"/>
    <w:rsid w:val="56C964CC"/>
    <w:rsid w:val="56D235C0"/>
    <w:rsid w:val="56D76FBC"/>
    <w:rsid w:val="56D84D86"/>
    <w:rsid w:val="56DB3EA8"/>
    <w:rsid w:val="56DC5048"/>
    <w:rsid w:val="56E56932"/>
    <w:rsid w:val="56FE31F5"/>
    <w:rsid w:val="574D0481"/>
    <w:rsid w:val="57517FA3"/>
    <w:rsid w:val="575B5891"/>
    <w:rsid w:val="57646C58"/>
    <w:rsid w:val="57952247"/>
    <w:rsid w:val="57B03D1D"/>
    <w:rsid w:val="57B72A76"/>
    <w:rsid w:val="57C3426C"/>
    <w:rsid w:val="57CB39AF"/>
    <w:rsid w:val="57CE1F93"/>
    <w:rsid w:val="58062224"/>
    <w:rsid w:val="580B5816"/>
    <w:rsid w:val="58203152"/>
    <w:rsid w:val="58227A77"/>
    <w:rsid w:val="582B0D0B"/>
    <w:rsid w:val="584146F4"/>
    <w:rsid w:val="58416310"/>
    <w:rsid w:val="58473575"/>
    <w:rsid w:val="584D36D3"/>
    <w:rsid w:val="585C0DBB"/>
    <w:rsid w:val="58636FCF"/>
    <w:rsid w:val="587379D7"/>
    <w:rsid w:val="5875757B"/>
    <w:rsid w:val="58844974"/>
    <w:rsid w:val="588743D1"/>
    <w:rsid w:val="5887701A"/>
    <w:rsid w:val="588B7AC6"/>
    <w:rsid w:val="589C414E"/>
    <w:rsid w:val="58A01EEF"/>
    <w:rsid w:val="58AE7193"/>
    <w:rsid w:val="58B67DC6"/>
    <w:rsid w:val="58C02441"/>
    <w:rsid w:val="58C1030C"/>
    <w:rsid w:val="58CC030F"/>
    <w:rsid w:val="58CF6A41"/>
    <w:rsid w:val="58D33292"/>
    <w:rsid w:val="58D37299"/>
    <w:rsid w:val="58D930EF"/>
    <w:rsid w:val="58DC348C"/>
    <w:rsid w:val="58E14F75"/>
    <w:rsid w:val="58E64E15"/>
    <w:rsid w:val="58F17F9A"/>
    <w:rsid w:val="58FE366F"/>
    <w:rsid w:val="591443CF"/>
    <w:rsid w:val="591F2BE0"/>
    <w:rsid w:val="5927006C"/>
    <w:rsid w:val="59295D58"/>
    <w:rsid w:val="59316EBD"/>
    <w:rsid w:val="59355E04"/>
    <w:rsid w:val="5938529C"/>
    <w:rsid w:val="59442F38"/>
    <w:rsid w:val="595F5340"/>
    <w:rsid w:val="59630367"/>
    <w:rsid w:val="5973329D"/>
    <w:rsid w:val="598F4257"/>
    <w:rsid w:val="599D6464"/>
    <w:rsid w:val="59A05059"/>
    <w:rsid w:val="59A83C1C"/>
    <w:rsid w:val="59AC5115"/>
    <w:rsid w:val="59AF611B"/>
    <w:rsid w:val="59B00313"/>
    <w:rsid w:val="59B12B85"/>
    <w:rsid w:val="59C0439F"/>
    <w:rsid w:val="59E2120E"/>
    <w:rsid w:val="59EC3E91"/>
    <w:rsid w:val="59F7106E"/>
    <w:rsid w:val="5A0933A9"/>
    <w:rsid w:val="5A0B041F"/>
    <w:rsid w:val="5A0D4234"/>
    <w:rsid w:val="5A13468C"/>
    <w:rsid w:val="5A177AED"/>
    <w:rsid w:val="5A187CD7"/>
    <w:rsid w:val="5A276243"/>
    <w:rsid w:val="5A324FB2"/>
    <w:rsid w:val="5A4B52B2"/>
    <w:rsid w:val="5A540CFD"/>
    <w:rsid w:val="5A5423AA"/>
    <w:rsid w:val="5A7024AF"/>
    <w:rsid w:val="5A835B10"/>
    <w:rsid w:val="5A8735AE"/>
    <w:rsid w:val="5A941811"/>
    <w:rsid w:val="5A975083"/>
    <w:rsid w:val="5AA81D80"/>
    <w:rsid w:val="5AAC30A3"/>
    <w:rsid w:val="5AAE002D"/>
    <w:rsid w:val="5AB35558"/>
    <w:rsid w:val="5ABE2233"/>
    <w:rsid w:val="5AD9317E"/>
    <w:rsid w:val="5ADE51BC"/>
    <w:rsid w:val="5AEB29ED"/>
    <w:rsid w:val="5AEB56EA"/>
    <w:rsid w:val="5AEC5DA3"/>
    <w:rsid w:val="5AF66C04"/>
    <w:rsid w:val="5AF87AA2"/>
    <w:rsid w:val="5AFD34B5"/>
    <w:rsid w:val="5B0C184E"/>
    <w:rsid w:val="5B17042A"/>
    <w:rsid w:val="5B2A3C79"/>
    <w:rsid w:val="5B32430E"/>
    <w:rsid w:val="5B4A6BB0"/>
    <w:rsid w:val="5B524C37"/>
    <w:rsid w:val="5B5255E5"/>
    <w:rsid w:val="5B5311CF"/>
    <w:rsid w:val="5B557FC2"/>
    <w:rsid w:val="5B744B37"/>
    <w:rsid w:val="5B770560"/>
    <w:rsid w:val="5B7B1876"/>
    <w:rsid w:val="5B85605C"/>
    <w:rsid w:val="5B902CE0"/>
    <w:rsid w:val="5B926433"/>
    <w:rsid w:val="5BA13A4F"/>
    <w:rsid w:val="5BA65ACE"/>
    <w:rsid w:val="5BAD6A24"/>
    <w:rsid w:val="5BC6455F"/>
    <w:rsid w:val="5BC74BA2"/>
    <w:rsid w:val="5BD328A3"/>
    <w:rsid w:val="5BDF5D95"/>
    <w:rsid w:val="5BE00F06"/>
    <w:rsid w:val="5BE7281C"/>
    <w:rsid w:val="5BFE7528"/>
    <w:rsid w:val="5C062FDD"/>
    <w:rsid w:val="5C0D5384"/>
    <w:rsid w:val="5C15338C"/>
    <w:rsid w:val="5C1A745C"/>
    <w:rsid w:val="5C2335E9"/>
    <w:rsid w:val="5C263847"/>
    <w:rsid w:val="5C3A6093"/>
    <w:rsid w:val="5C6F7EB5"/>
    <w:rsid w:val="5C70207E"/>
    <w:rsid w:val="5C77317E"/>
    <w:rsid w:val="5CAA3A8B"/>
    <w:rsid w:val="5CC109C3"/>
    <w:rsid w:val="5CC92AF5"/>
    <w:rsid w:val="5CD47FB4"/>
    <w:rsid w:val="5CDB0F6B"/>
    <w:rsid w:val="5CE24554"/>
    <w:rsid w:val="5D0029AF"/>
    <w:rsid w:val="5D133A8E"/>
    <w:rsid w:val="5D1F5066"/>
    <w:rsid w:val="5D2770C6"/>
    <w:rsid w:val="5D321B55"/>
    <w:rsid w:val="5D3703F6"/>
    <w:rsid w:val="5D3F5B2D"/>
    <w:rsid w:val="5D592442"/>
    <w:rsid w:val="5D630619"/>
    <w:rsid w:val="5D6422E8"/>
    <w:rsid w:val="5D6F2B79"/>
    <w:rsid w:val="5D8E07F9"/>
    <w:rsid w:val="5D94747E"/>
    <w:rsid w:val="5DA87015"/>
    <w:rsid w:val="5DBF512A"/>
    <w:rsid w:val="5DD11EAA"/>
    <w:rsid w:val="5DD60B60"/>
    <w:rsid w:val="5DD959D2"/>
    <w:rsid w:val="5DDB1582"/>
    <w:rsid w:val="5DE13B48"/>
    <w:rsid w:val="5DEB046C"/>
    <w:rsid w:val="5E0054C4"/>
    <w:rsid w:val="5E043FCF"/>
    <w:rsid w:val="5E2467F1"/>
    <w:rsid w:val="5E276A9A"/>
    <w:rsid w:val="5E346E01"/>
    <w:rsid w:val="5E3A7E9E"/>
    <w:rsid w:val="5E3C391A"/>
    <w:rsid w:val="5E715F41"/>
    <w:rsid w:val="5E741444"/>
    <w:rsid w:val="5E9B4057"/>
    <w:rsid w:val="5E9B5E4D"/>
    <w:rsid w:val="5EBB676E"/>
    <w:rsid w:val="5EC27AE4"/>
    <w:rsid w:val="5EE559A1"/>
    <w:rsid w:val="5EF01530"/>
    <w:rsid w:val="5F10156E"/>
    <w:rsid w:val="5F1A2B43"/>
    <w:rsid w:val="5F3570F9"/>
    <w:rsid w:val="5F440795"/>
    <w:rsid w:val="5F474D34"/>
    <w:rsid w:val="5F635895"/>
    <w:rsid w:val="5F863439"/>
    <w:rsid w:val="5FA23878"/>
    <w:rsid w:val="5FA73E94"/>
    <w:rsid w:val="5FB62449"/>
    <w:rsid w:val="5FB837BB"/>
    <w:rsid w:val="5FCA658C"/>
    <w:rsid w:val="5FE044E0"/>
    <w:rsid w:val="5FF50E14"/>
    <w:rsid w:val="60050642"/>
    <w:rsid w:val="600D2C5B"/>
    <w:rsid w:val="600E3722"/>
    <w:rsid w:val="60155341"/>
    <w:rsid w:val="6022409C"/>
    <w:rsid w:val="603628CE"/>
    <w:rsid w:val="603D79E4"/>
    <w:rsid w:val="605103F4"/>
    <w:rsid w:val="606C04B3"/>
    <w:rsid w:val="607050A1"/>
    <w:rsid w:val="607E6B08"/>
    <w:rsid w:val="60807BFF"/>
    <w:rsid w:val="60892EEC"/>
    <w:rsid w:val="60AA0313"/>
    <w:rsid w:val="60C2510C"/>
    <w:rsid w:val="60C76FFF"/>
    <w:rsid w:val="60C80280"/>
    <w:rsid w:val="60CA5BDC"/>
    <w:rsid w:val="60CC405A"/>
    <w:rsid w:val="60D77A04"/>
    <w:rsid w:val="60EC4CBE"/>
    <w:rsid w:val="60FC28E0"/>
    <w:rsid w:val="61136C92"/>
    <w:rsid w:val="61236414"/>
    <w:rsid w:val="61276F4F"/>
    <w:rsid w:val="613230B4"/>
    <w:rsid w:val="615F32E5"/>
    <w:rsid w:val="617D0E97"/>
    <w:rsid w:val="61B37DB2"/>
    <w:rsid w:val="61BB68F4"/>
    <w:rsid w:val="61BF3493"/>
    <w:rsid w:val="61D73038"/>
    <w:rsid w:val="61DD544D"/>
    <w:rsid w:val="61E215D8"/>
    <w:rsid w:val="61EB0C96"/>
    <w:rsid w:val="621B3775"/>
    <w:rsid w:val="621B3DCF"/>
    <w:rsid w:val="621F3542"/>
    <w:rsid w:val="622E084F"/>
    <w:rsid w:val="62364782"/>
    <w:rsid w:val="6245082D"/>
    <w:rsid w:val="62551E19"/>
    <w:rsid w:val="62570E11"/>
    <w:rsid w:val="625C53C9"/>
    <w:rsid w:val="62644BCE"/>
    <w:rsid w:val="62883F51"/>
    <w:rsid w:val="629028F4"/>
    <w:rsid w:val="629721C1"/>
    <w:rsid w:val="62A809F2"/>
    <w:rsid w:val="62B23EFA"/>
    <w:rsid w:val="62C6573D"/>
    <w:rsid w:val="62C82313"/>
    <w:rsid w:val="62DC646C"/>
    <w:rsid w:val="62F20750"/>
    <w:rsid w:val="62F65D03"/>
    <w:rsid w:val="63024469"/>
    <w:rsid w:val="63094524"/>
    <w:rsid w:val="630A1713"/>
    <w:rsid w:val="63101E7F"/>
    <w:rsid w:val="63361FC2"/>
    <w:rsid w:val="6337123B"/>
    <w:rsid w:val="63402994"/>
    <w:rsid w:val="636B75A2"/>
    <w:rsid w:val="636C6FDA"/>
    <w:rsid w:val="637402C1"/>
    <w:rsid w:val="63757D6E"/>
    <w:rsid w:val="638845DE"/>
    <w:rsid w:val="6394356A"/>
    <w:rsid w:val="63A44EF3"/>
    <w:rsid w:val="63A57F18"/>
    <w:rsid w:val="63BA0265"/>
    <w:rsid w:val="63BA0390"/>
    <w:rsid w:val="63C61B2C"/>
    <w:rsid w:val="63D40BE9"/>
    <w:rsid w:val="63DB3580"/>
    <w:rsid w:val="63DE0642"/>
    <w:rsid w:val="640230D2"/>
    <w:rsid w:val="6404123C"/>
    <w:rsid w:val="64102431"/>
    <w:rsid w:val="64131F12"/>
    <w:rsid w:val="641A1A25"/>
    <w:rsid w:val="641B3470"/>
    <w:rsid w:val="6475213A"/>
    <w:rsid w:val="647B7609"/>
    <w:rsid w:val="647E40D5"/>
    <w:rsid w:val="647F264B"/>
    <w:rsid w:val="64954766"/>
    <w:rsid w:val="64991C24"/>
    <w:rsid w:val="64A5243A"/>
    <w:rsid w:val="64C76F37"/>
    <w:rsid w:val="64CF6117"/>
    <w:rsid w:val="64DA483F"/>
    <w:rsid w:val="64E47717"/>
    <w:rsid w:val="64EC0EFA"/>
    <w:rsid w:val="64EF2799"/>
    <w:rsid w:val="64F42D39"/>
    <w:rsid w:val="64F531DE"/>
    <w:rsid w:val="64F771E4"/>
    <w:rsid w:val="64FB0EFD"/>
    <w:rsid w:val="64FF0F4A"/>
    <w:rsid w:val="65004097"/>
    <w:rsid w:val="651228F6"/>
    <w:rsid w:val="65157FAA"/>
    <w:rsid w:val="651D6269"/>
    <w:rsid w:val="651F6DF7"/>
    <w:rsid w:val="652B3B15"/>
    <w:rsid w:val="65337355"/>
    <w:rsid w:val="6533751D"/>
    <w:rsid w:val="6537197E"/>
    <w:rsid w:val="65373578"/>
    <w:rsid w:val="654A79DE"/>
    <w:rsid w:val="654D7409"/>
    <w:rsid w:val="65604091"/>
    <w:rsid w:val="656C2A96"/>
    <w:rsid w:val="656F0AC0"/>
    <w:rsid w:val="657252B9"/>
    <w:rsid w:val="658C6040"/>
    <w:rsid w:val="658C6917"/>
    <w:rsid w:val="65906AC5"/>
    <w:rsid w:val="6596271A"/>
    <w:rsid w:val="65A226B8"/>
    <w:rsid w:val="65AD0C62"/>
    <w:rsid w:val="65C9123C"/>
    <w:rsid w:val="65C92301"/>
    <w:rsid w:val="65CA11F5"/>
    <w:rsid w:val="65D8767C"/>
    <w:rsid w:val="65DE4CE7"/>
    <w:rsid w:val="65E0322B"/>
    <w:rsid w:val="65E61D6A"/>
    <w:rsid w:val="65EB3C38"/>
    <w:rsid w:val="65F86718"/>
    <w:rsid w:val="65FA658F"/>
    <w:rsid w:val="6601512A"/>
    <w:rsid w:val="66073DF2"/>
    <w:rsid w:val="661425AE"/>
    <w:rsid w:val="66180C71"/>
    <w:rsid w:val="66186456"/>
    <w:rsid w:val="66313A05"/>
    <w:rsid w:val="663C729B"/>
    <w:rsid w:val="66426D47"/>
    <w:rsid w:val="665541D2"/>
    <w:rsid w:val="6659611C"/>
    <w:rsid w:val="66634E3D"/>
    <w:rsid w:val="667E0188"/>
    <w:rsid w:val="667E2A79"/>
    <w:rsid w:val="66827113"/>
    <w:rsid w:val="66872311"/>
    <w:rsid w:val="6687300C"/>
    <w:rsid w:val="66C93243"/>
    <w:rsid w:val="66DB259F"/>
    <w:rsid w:val="66F914BF"/>
    <w:rsid w:val="67004CF5"/>
    <w:rsid w:val="670B539F"/>
    <w:rsid w:val="67162137"/>
    <w:rsid w:val="671F124A"/>
    <w:rsid w:val="67231DD7"/>
    <w:rsid w:val="672574DD"/>
    <w:rsid w:val="674463B4"/>
    <w:rsid w:val="6752386B"/>
    <w:rsid w:val="675608AD"/>
    <w:rsid w:val="675A273B"/>
    <w:rsid w:val="677550D9"/>
    <w:rsid w:val="677A33C6"/>
    <w:rsid w:val="678E3D1E"/>
    <w:rsid w:val="678E7362"/>
    <w:rsid w:val="679C45BC"/>
    <w:rsid w:val="67A4478A"/>
    <w:rsid w:val="67B9333A"/>
    <w:rsid w:val="67CD163A"/>
    <w:rsid w:val="67CF0D2B"/>
    <w:rsid w:val="67F647B1"/>
    <w:rsid w:val="68124EA3"/>
    <w:rsid w:val="681F6961"/>
    <w:rsid w:val="68443940"/>
    <w:rsid w:val="68610A2F"/>
    <w:rsid w:val="68677D35"/>
    <w:rsid w:val="686C1114"/>
    <w:rsid w:val="686D76A6"/>
    <w:rsid w:val="68805514"/>
    <w:rsid w:val="688957E9"/>
    <w:rsid w:val="689E6ADC"/>
    <w:rsid w:val="68B23568"/>
    <w:rsid w:val="68C05D7A"/>
    <w:rsid w:val="68CE7E5A"/>
    <w:rsid w:val="68D32D18"/>
    <w:rsid w:val="68D87969"/>
    <w:rsid w:val="69000AEE"/>
    <w:rsid w:val="692B69D7"/>
    <w:rsid w:val="692C1756"/>
    <w:rsid w:val="69316E2F"/>
    <w:rsid w:val="693910F5"/>
    <w:rsid w:val="693D1C6D"/>
    <w:rsid w:val="69462956"/>
    <w:rsid w:val="69472F43"/>
    <w:rsid w:val="694E2071"/>
    <w:rsid w:val="694E5BDE"/>
    <w:rsid w:val="69524961"/>
    <w:rsid w:val="69613C9D"/>
    <w:rsid w:val="696211A0"/>
    <w:rsid w:val="69766163"/>
    <w:rsid w:val="69766B57"/>
    <w:rsid w:val="697A3B33"/>
    <w:rsid w:val="69834E98"/>
    <w:rsid w:val="69866BE7"/>
    <w:rsid w:val="69887433"/>
    <w:rsid w:val="69901444"/>
    <w:rsid w:val="69A67DB5"/>
    <w:rsid w:val="69A701DB"/>
    <w:rsid w:val="69A83CBB"/>
    <w:rsid w:val="69AE03F5"/>
    <w:rsid w:val="69BE2555"/>
    <w:rsid w:val="69C540FF"/>
    <w:rsid w:val="69D44760"/>
    <w:rsid w:val="69DC1292"/>
    <w:rsid w:val="69ED2F85"/>
    <w:rsid w:val="69F21049"/>
    <w:rsid w:val="69F94B66"/>
    <w:rsid w:val="6A02042E"/>
    <w:rsid w:val="6A0632DA"/>
    <w:rsid w:val="6A0A2367"/>
    <w:rsid w:val="6A121AAA"/>
    <w:rsid w:val="6A291CBB"/>
    <w:rsid w:val="6A2B2F0F"/>
    <w:rsid w:val="6A520EC7"/>
    <w:rsid w:val="6A550787"/>
    <w:rsid w:val="6A654B39"/>
    <w:rsid w:val="6A6C21D0"/>
    <w:rsid w:val="6A6F3159"/>
    <w:rsid w:val="6AAE0D26"/>
    <w:rsid w:val="6AB430CE"/>
    <w:rsid w:val="6AC23DF8"/>
    <w:rsid w:val="6AE0083F"/>
    <w:rsid w:val="6AE42B4F"/>
    <w:rsid w:val="6AF44240"/>
    <w:rsid w:val="6AF87E20"/>
    <w:rsid w:val="6B011D8A"/>
    <w:rsid w:val="6B046820"/>
    <w:rsid w:val="6B0F5943"/>
    <w:rsid w:val="6B140E04"/>
    <w:rsid w:val="6B1C4232"/>
    <w:rsid w:val="6B244599"/>
    <w:rsid w:val="6B322639"/>
    <w:rsid w:val="6B3C068A"/>
    <w:rsid w:val="6B415E4F"/>
    <w:rsid w:val="6B5F5881"/>
    <w:rsid w:val="6B654081"/>
    <w:rsid w:val="6B73469F"/>
    <w:rsid w:val="6B8934D2"/>
    <w:rsid w:val="6BA93C7E"/>
    <w:rsid w:val="6BA93FC4"/>
    <w:rsid w:val="6BAE1FE0"/>
    <w:rsid w:val="6BDB38F2"/>
    <w:rsid w:val="6BDC4031"/>
    <w:rsid w:val="6BE12D10"/>
    <w:rsid w:val="6BF97CE0"/>
    <w:rsid w:val="6C0134DD"/>
    <w:rsid w:val="6C016B7C"/>
    <w:rsid w:val="6C016CE8"/>
    <w:rsid w:val="6C0B3A03"/>
    <w:rsid w:val="6C161F0F"/>
    <w:rsid w:val="6C2C09D8"/>
    <w:rsid w:val="6C3567D3"/>
    <w:rsid w:val="6C373874"/>
    <w:rsid w:val="6C3D2676"/>
    <w:rsid w:val="6C457617"/>
    <w:rsid w:val="6C4E2095"/>
    <w:rsid w:val="6C613007"/>
    <w:rsid w:val="6C615A90"/>
    <w:rsid w:val="6C636C38"/>
    <w:rsid w:val="6C6D1E1E"/>
    <w:rsid w:val="6C7C7493"/>
    <w:rsid w:val="6C7D426C"/>
    <w:rsid w:val="6C8235BE"/>
    <w:rsid w:val="6C942006"/>
    <w:rsid w:val="6CA53E1C"/>
    <w:rsid w:val="6CCA457A"/>
    <w:rsid w:val="6CD8592D"/>
    <w:rsid w:val="6CD90912"/>
    <w:rsid w:val="6CDC47A4"/>
    <w:rsid w:val="6CDE6E9E"/>
    <w:rsid w:val="6CE04DDE"/>
    <w:rsid w:val="6CFC7E0A"/>
    <w:rsid w:val="6D0C1917"/>
    <w:rsid w:val="6D134E32"/>
    <w:rsid w:val="6D2107D0"/>
    <w:rsid w:val="6D31654B"/>
    <w:rsid w:val="6D3614F2"/>
    <w:rsid w:val="6D380B24"/>
    <w:rsid w:val="6D3C6A97"/>
    <w:rsid w:val="6D3D4300"/>
    <w:rsid w:val="6D5C49DC"/>
    <w:rsid w:val="6D603588"/>
    <w:rsid w:val="6D682F0E"/>
    <w:rsid w:val="6D8D5A15"/>
    <w:rsid w:val="6D936808"/>
    <w:rsid w:val="6D9500A6"/>
    <w:rsid w:val="6D9F0619"/>
    <w:rsid w:val="6DA1470A"/>
    <w:rsid w:val="6DB34098"/>
    <w:rsid w:val="6DB545B6"/>
    <w:rsid w:val="6DB75E47"/>
    <w:rsid w:val="6DBC4E18"/>
    <w:rsid w:val="6DC71D0A"/>
    <w:rsid w:val="6DD04EA1"/>
    <w:rsid w:val="6DD9266E"/>
    <w:rsid w:val="6DE02FB4"/>
    <w:rsid w:val="6DE80452"/>
    <w:rsid w:val="6E26547D"/>
    <w:rsid w:val="6E457BF6"/>
    <w:rsid w:val="6E476EC0"/>
    <w:rsid w:val="6E494CC7"/>
    <w:rsid w:val="6E514CED"/>
    <w:rsid w:val="6E6505EA"/>
    <w:rsid w:val="6E6930C9"/>
    <w:rsid w:val="6E706CB1"/>
    <w:rsid w:val="6EB563D5"/>
    <w:rsid w:val="6ED92677"/>
    <w:rsid w:val="6EDC115B"/>
    <w:rsid w:val="6EE342DC"/>
    <w:rsid w:val="6EED0A16"/>
    <w:rsid w:val="6EFE493F"/>
    <w:rsid w:val="6F062F9C"/>
    <w:rsid w:val="6F0D0CD3"/>
    <w:rsid w:val="6F225983"/>
    <w:rsid w:val="6F4A583A"/>
    <w:rsid w:val="6F5324C4"/>
    <w:rsid w:val="6F561060"/>
    <w:rsid w:val="6F584873"/>
    <w:rsid w:val="6F5D7720"/>
    <w:rsid w:val="6F6A37B0"/>
    <w:rsid w:val="6F6C3363"/>
    <w:rsid w:val="6F997ED1"/>
    <w:rsid w:val="6FB23459"/>
    <w:rsid w:val="6FBD2E61"/>
    <w:rsid w:val="6FC265F3"/>
    <w:rsid w:val="6FCA2CE2"/>
    <w:rsid w:val="6FE37696"/>
    <w:rsid w:val="6FE75E20"/>
    <w:rsid w:val="6FF02475"/>
    <w:rsid w:val="6FFC5590"/>
    <w:rsid w:val="6FFD3971"/>
    <w:rsid w:val="700D50D2"/>
    <w:rsid w:val="701831A3"/>
    <w:rsid w:val="70187EAB"/>
    <w:rsid w:val="701B1225"/>
    <w:rsid w:val="7024732A"/>
    <w:rsid w:val="702576F5"/>
    <w:rsid w:val="702A4CF8"/>
    <w:rsid w:val="70396B29"/>
    <w:rsid w:val="705D5F12"/>
    <w:rsid w:val="706D1DD0"/>
    <w:rsid w:val="707D50FC"/>
    <w:rsid w:val="70856B87"/>
    <w:rsid w:val="70C8281B"/>
    <w:rsid w:val="70D16DE0"/>
    <w:rsid w:val="70D527EE"/>
    <w:rsid w:val="70D77C4F"/>
    <w:rsid w:val="70D9302A"/>
    <w:rsid w:val="70E065D7"/>
    <w:rsid w:val="70FC57B1"/>
    <w:rsid w:val="711054B0"/>
    <w:rsid w:val="7115648A"/>
    <w:rsid w:val="71176911"/>
    <w:rsid w:val="711F3C27"/>
    <w:rsid w:val="712066E9"/>
    <w:rsid w:val="71251E31"/>
    <w:rsid w:val="713C0B14"/>
    <w:rsid w:val="713C3240"/>
    <w:rsid w:val="713D3849"/>
    <w:rsid w:val="714F676A"/>
    <w:rsid w:val="715B5300"/>
    <w:rsid w:val="716178A3"/>
    <w:rsid w:val="716B1BD6"/>
    <w:rsid w:val="7182050E"/>
    <w:rsid w:val="71844C7B"/>
    <w:rsid w:val="71845086"/>
    <w:rsid w:val="718673A5"/>
    <w:rsid w:val="71894BDA"/>
    <w:rsid w:val="718B2545"/>
    <w:rsid w:val="719C7F00"/>
    <w:rsid w:val="71AE22D5"/>
    <w:rsid w:val="71AF6C1A"/>
    <w:rsid w:val="71AF6C60"/>
    <w:rsid w:val="71BA47CF"/>
    <w:rsid w:val="71C14810"/>
    <w:rsid w:val="71D05E19"/>
    <w:rsid w:val="71D27F8A"/>
    <w:rsid w:val="71EB5AA8"/>
    <w:rsid w:val="71EC44B1"/>
    <w:rsid w:val="71EE6A84"/>
    <w:rsid w:val="71F176D8"/>
    <w:rsid w:val="71FA6C15"/>
    <w:rsid w:val="720E2B79"/>
    <w:rsid w:val="723D0FE7"/>
    <w:rsid w:val="723F6324"/>
    <w:rsid w:val="725131DA"/>
    <w:rsid w:val="72553024"/>
    <w:rsid w:val="72574410"/>
    <w:rsid w:val="727C7940"/>
    <w:rsid w:val="727E1346"/>
    <w:rsid w:val="728E2359"/>
    <w:rsid w:val="72936E59"/>
    <w:rsid w:val="72963F25"/>
    <w:rsid w:val="729F7BE8"/>
    <w:rsid w:val="72B02237"/>
    <w:rsid w:val="72B57912"/>
    <w:rsid w:val="72B65499"/>
    <w:rsid w:val="72C5701F"/>
    <w:rsid w:val="72D53112"/>
    <w:rsid w:val="72E97F38"/>
    <w:rsid w:val="73001B87"/>
    <w:rsid w:val="73006D18"/>
    <w:rsid w:val="730F649E"/>
    <w:rsid w:val="73122968"/>
    <w:rsid w:val="731657A6"/>
    <w:rsid w:val="73194663"/>
    <w:rsid w:val="731E2CB7"/>
    <w:rsid w:val="731F5D5E"/>
    <w:rsid w:val="733401A1"/>
    <w:rsid w:val="73427346"/>
    <w:rsid w:val="73512594"/>
    <w:rsid w:val="735C65DC"/>
    <w:rsid w:val="736B0B58"/>
    <w:rsid w:val="73745168"/>
    <w:rsid w:val="7378699D"/>
    <w:rsid w:val="738E1333"/>
    <w:rsid w:val="739127D3"/>
    <w:rsid w:val="73AB01D2"/>
    <w:rsid w:val="73C01FD7"/>
    <w:rsid w:val="73C51AD5"/>
    <w:rsid w:val="73D10F46"/>
    <w:rsid w:val="73DE3FB3"/>
    <w:rsid w:val="740D3EB3"/>
    <w:rsid w:val="74105633"/>
    <w:rsid w:val="74117765"/>
    <w:rsid w:val="741E793C"/>
    <w:rsid w:val="74237FC8"/>
    <w:rsid w:val="74246470"/>
    <w:rsid w:val="743E3CF7"/>
    <w:rsid w:val="7440484C"/>
    <w:rsid w:val="7449457D"/>
    <w:rsid w:val="745E3944"/>
    <w:rsid w:val="7478795A"/>
    <w:rsid w:val="747F624D"/>
    <w:rsid w:val="7486167D"/>
    <w:rsid w:val="748E0F38"/>
    <w:rsid w:val="74934641"/>
    <w:rsid w:val="749371C5"/>
    <w:rsid w:val="74986BAF"/>
    <w:rsid w:val="749F23B1"/>
    <w:rsid w:val="74AD7E59"/>
    <w:rsid w:val="74BA2448"/>
    <w:rsid w:val="74CD5648"/>
    <w:rsid w:val="74DB7FD2"/>
    <w:rsid w:val="74FE06AF"/>
    <w:rsid w:val="75001E73"/>
    <w:rsid w:val="75122761"/>
    <w:rsid w:val="75381340"/>
    <w:rsid w:val="75555F53"/>
    <w:rsid w:val="75750A98"/>
    <w:rsid w:val="758F1FF3"/>
    <w:rsid w:val="759058D2"/>
    <w:rsid w:val="75970A0E"/>
    <w:rsid w:val="75996461"/>
    <w:rsid w:val="75AB0991"/>
    <w:rsid w:val="75AE624D"/>
    <w:rsid w:val="75BA64AB"/>
    <w:rsid w:val="75D31D69"/>
    <w:rsid w:val="76127521"/>
    <w:rsid w:val="7635099D"/>
    <w:rsid w:val="763B1755"/>
    <w:rsid w:val="764B1616"/>
    <w:rsid w:val="76557CFE"/>
    <w:rsid w:val="765763D3"/>
    <w:rsid w:val="766617F2"/>
    <w:rsid w:val="767409CC"/>
    <w:rsid w:val="767412AA"/>
    <w:rsid w:val="76A126B1"/>
    <w:rsid w:val="76B42E68"/>
    <w:rsid w:val="76BF7EB1"/>
    <w:rsid w:val="76C30439"/>
    <w:rsid w:val="76C74A62"/>
    <w:rsid w:val="76CD1EC6"/>
    <w:rsid w:val="76CD4733"/>
    <w:rsid w:val="76D343EA"/>
    <w:rsid w:val="76D437E6"/>
    <w:rsid w:val="76DA5057"/>
    <w:rsid w:val="76EE0A9D"/>
    <w:rsid w:val="76F72A76"/>
    <w:rsid w:val="774C40DF"/>
    <w:rsid w:val="775B0F5B"/>
    <w:rsid w:val="775E16B6"/>
    <w:rsid w:val="7765645C"/>
    <w:rsid w:val="77762421"/>
    <w:rsid w:val="77961213"/>
    <w:rsid w:val="77A900DD"/>
    <w:rsid w:val="77A9532D"/>
    <w:rsid w:val="77B056BD"/>
    <w:rsid w:val="77B56B1F"/>
    <w:rsid w:val="77D54ABC"/>
    <w:rsid w:val="77DE0616"/>
    <w:rsid w:val="77E34A18"/>
    <w:rsid w:val="77F75456"/>
    <w:rsid w:val="77FA5285"/>
    <w:rsid w:val="780F09F4"/>
    <w:rsid w:val="78115779"/>
    <w:rsid w:val="78280774"/>
    <w:rsid w:val="782F4F2E"/>
    <w:rsid w:val="783662E3"/>
    <w:rsid w:val="78381A66"/>
    <w:rsid w:val="7850641D"/>
    <w:rsid w:val="78511CDB"/>
    <w:rsid w:val="78532583"/>
    <w:rsid w:val="78592A70"/>
    <w:rsid w:val="7859644F"/>
    <w:rsid w:val="788E5ECB"/>
    <w:rsid w:val="78926AD5"/>
    <w:rsid w:val="78A10B05"/>
    <w:rsid w:val="78A90480"/>
    <w:rsid w:val="78A945CD"/>
    <w:rsid w:val="78BD0C81"/>
    <w:rsid w:val="78C45649"/>
    <w:rsid w:val="78C45BA2"/>
    <w:rsid w:val="78D17840"/>
    <w:rsid w:val="79046460"/>
    <w:rsid w:val="79153E52"/>
    <w:rsid w:val="7920079B"/>
    <w:rsid w:val="793D7555"/>
    <w:rsid w:val="79523C0B"/>
    <w:rsid w:val="795A2BE0"/>
    <w:rsid w:val="798473CB"/>
    <w:rsid w:val="79995763"/>
    <w:rsid w:val="79A24D9E"/>
    <w:rsid w:val="79B660F0"/>
    <w:rsid w:val="79C654BA"/>
    <w:rsid w:val="79CF7F97"/>
    <w:rsid w:val="79F50469"/>
    <w:rsid w:val="7A012350"/>
    <w:rsid w:val="7A0B2516"/>
    <w:rsid w:val="7A1C2404"/>
    <w:rsid w:val="7A313D01"/>
    <w:rsid w:val="7A364017"/>
    <w:rsid w:val="7A7035A2"/>
    <w:rsid w:val="7A8265E1"/>
    <w:rsid w:val="7A9B107F"/>
    <w:rsid w:val="7AB76E16"/>
    <w:rsid w:val="7AC608C9"/>
    <w:rsid w:val="7AC75F09"/>
    <w:rsid w:val="7ACA264B"/>
    <w:rsid w:val="7AD623F3"/>
    <w:rsid w:val="7AD82187"/>
    <w:rsid w:val="7ADA7635"/>
    <w:rsid w:val="7AF23B8D"/>
    <w:rsid w:val="7B120500"/>
    <w:rsid w:val="7B135D86"/>
    <w:rsid w:val="7B1840BE"/>
    <w:rsid w:val="7B1C700A"/>
    <w:rsid w:val="7B24530D"/>
    <w:rsid w:val="7B3D1A10"/>
    <w:rsid w:val="7B4A3D36"/>
    <w:rsid w:val="7B4E3942"/>
    <w:rsid w:val="7B4E7574"/>
    <w:rsid w:val="7B5377C1"/>
    <w:rsid w:val="7B686D42"/>
    <w:rsid w:val="7B841746"/>
    <w:rsid w:val="7B8C30C7"/>
    <w:rsid w:val="7B963E81"/>
    <w:rsid w:val="7BC146AC"/>
    <w:rsid w:val="7BD63C7D"/>
    <w:rsid w:val="7BD6678D"/>
    <w:rsid w:val="7BE67BF4"/>
    <w:rsid w:val="7BE71BAE"/>
    <w:rsid w:val="7BF33C8C"/>
    <w:rsid w:val="7BF761AA"/>
    <w:rsid w:val="7BFC6C36"/>
    <w:rsid w:val="7C0342A8"/>
    <w:rsid w:val="7C062D32"/>
    <w:rsid w:val="7C2849F8"/>
    <w:rsid w:val="7C3344E3"/>
    <w:rsid w:val="7C3921A5"/>
    <w:rsid w:val="7C3A337B"/>
    <w:rsid w:val="7C3B6876"/>
    <w:rsid w:val="7C4A5855"/>
    <w:rsid w:val="7C5C2726"/>
    <w:rsid w:val="7C6C5AC7"/>
    <w:rsid w:val="7C7F0DC3"/>
    <w:rsid w:val="7C821CE3"/>
    <w:rsid w:val="7C8B4405"/>
    <w:rsid w:val="7CB1067C"/>
    <w:rsid w:val="7CB75D15"/>
    <w:rsid w:val="7CC6544B"/>
    <w:rsid w:val="7CD4371C"/>
    <w:rsid w:val="7CD6628F"/>
    <w:rsid w:val="7CDC3BFF"/>
    <w:rsid w:val="7CF14EA8"/>
    <w:rsid w:val="7CFB3976"/>
    <w:rsid w:val="7D0239FF"/>
    <w:rsid w:val="7D335496"/>
    <w:rsid w:val="7D38459D"/>
    <w:rsid w:val="7D40127E"/>
    <w:rsid w:val="7D4C0EE1"/>
    <w:rsid w:val="7D5A1576"/>
    <w:rsid w:val="7D5E40CD"/>
    <w:rsid w:val="7D5F203D"/>
    <w:rsid w:val="7D7E188C"/>
    <w:rsid w:val="7D824EA8"/>
    <w:rsid w:val="7D89117B"/>
    <w:rsid w:val="7D90323E"/>
    <w:rsid w:val="7D985C79"/>
    <w:rsid w:val="7DAC6539"/>
    <w:rsid w:val="7DBC7C4C"/>
    <w:rsid w:val="7DCD56F2"/>
    <w:rsid w:val="7DD34312"/>
    <w:rsid w:val="7DD425D3"/>
    <w:rsid w:val="7DFE4255"/>
    <w:rsid w:val="7E0D5D12"/>
    <w:rsid w:val="7E1C4A2C"/>
    <w:rsid w:val="7E245E0B"/>
    <w:rsid w:val="7E2551B7"/>
    <w:rsid w:val="7E2C7134"/>
    <w:rsid w:val="7E383B13"/>
    <w:rsid w:val="7E3C338E"/>
    <w:rsid w:val="7E463164"/>
    <w:rsid w:val="7E4E6D88"/>
    <w:rsid w:val="7E4F5611"/>
    <w:rsid w:val="7E507512"/>
    <w:rsid w:val="7E5659F5"/>
    <w:rsid w:val="7E5F2B8D"/>
    <w:rsid w:val="7E653E85"/>
    <w:rsid w:val="7E6E38CF"/>
    <w:rsid w:val="7E7E276B"/>
    <w:rsid w:val="7E8402AD"/>
    <w:rsid w:val="7E8D07F5"/>
    <w:rsid w:val="7EAC1057"/>
    <w:rsid w:val="7EF15D45"/>
    <w:rsid w:val="7F001CE7"/>
    <w:rsid w:val="7F05085C"/>
    <w:rsid w:val="7F0F370D"/>
    <w:rsid w:val="7F343930"/>
    <w:rsid w:val="7F3E06A8"/>
    <w:rsid w:val="7F533227"/>
    <w:rsid w:val="7F786243"/>
    <w:rsid w:val="7F871AF4"/>
    <w:rsid w:val="7F8E4866"/>
    <w:rsid w:val="7F8F05FD"/>
    <w:rsid w:val="7F9E186F"/>
    <w:rsid w:val="7FA95C02"/>
    <w:rsid w:val="7FD206DF"/>
    <w:rsid w:val="7FE47E50"/>
    <w:rsid w:val="7FFB0403"/>
    <w:rsid w:val="7FFC6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iPriority="0" w:semiHidden="0" w:name="footnote text" w:locked="1"/>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sdException w:unhideWhenUsed="0" w:uiPriority="0" w:semiHidden="0" w:name="footnote reference" w:locked="1"/>
    <w:lsdException w:qFormat="1" w:unhideWhenUsed="0" w:uiPriority="0" w:name="annotation reference"/>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semiHidden="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autoRedefine/>
    <w:qFormat/>
    <w:locked/>
    <w:uiPriority w:val="0"/>
    <w:pPr>
      <w:keepNext/>
      <w:keepLines/>
      <w:spacing w:line="360" w:lineRule="auto"/>
      <w:outlineLvl w:val="1"/>
    </w:pPr>
    <w:rPr>
      <w:rFonts w:eastAsia="仿宋_GB2312"/>
      <w:b/>
      <w:bCs/>
      <w:sz w:val="24"/>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ascii="宋体" w:hAnsi="宋体" w:cs="宋体"/>
      <w:sz w:val="24"/>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w:basedOn w:val="1"/>
    <w:qFormat/>
    <w:uiPriority w:val="0"/>
    <w:pPr>
      <w:widowControl/>
      <w:snapToGrid w:val="0"/>
      <w:spacing w:before="60" w:after="160" w:line="259" w:lineRule="auto"/>
      <w:ind w:right="113"/>
    </w:pPr>
    <w:rPr>
      <w:kern w:val="0"/>
      <w:sz w:val="18"/>
      <w:szCs w:val="20"/>
    </w:rPr>
  </w:style>
  <w:style w:type="paragraph" w:styleId="7">
    <w:name w:val="Normal Indent"/>
    <w:basedOn w:val="1"/>
    <w:qFormat/>
    <w:uiPriority w:val="0"/>
    <w:pPr>
      <w:ind w:firstLine="420" w:firstLineChars="200"/>
    </w:pPr>
  </w:style>
  <w:style w:type="paragraph" w:styleId="8">
    <w:name w:val="annotation text"/>
    <w:basedOn w:val="1"/>
    <w:link w:val="42"/>
    <w:semiHidden/>
    <w:qFormat/>
    <w:uiPriority w:val="0"/>
    <w:pPr>
      <w:jc w:val="left"/>
    </w:pPr>
    <w:rPr>
      <w:kern w:val="0"/>
      <w:sz w:val="24"/>
      <w:szCs w:val="20"/>
    </w:rPr>
  </w:style>
  <w:style w:type="paragraph" w:styleId="9">
    <w:name w:val="List 2"/>
    <w:basedOn w:val="1"/>
    <w:qFormat/>
    <w:locked/>
    <w:uiPriority w:val="0"/>
    <w:pPr>
      <w:spacing w:line="360" w:lineRule="exact"/>
      <w:jc w:val="center"/>
    </w:pPr>
    <w:rPr>
      <w:rFonts w:ascii="仿宋_GB2312" w:eastAsia="仿宋_GB2312"/>
    </w:rPr>
  </w:style>
  <w:style w:type="paragraph" w:styleId="10">
    <w:name w:val="List Bullet 5"/>
    <w:basedOn w:val="1"/>
    <w:autoRedefine/>
    <w:qFormat/>
    <w:uiPriority w:val="0"/>
    <w:pPr>
      <w:numPr>
        <w:ilvl w:val="0"/>
        <w:numId w:val="1"/>
      </w:numPr>
    </w:pPr>
  </w:style>
  <w:style w:type="paragraph" w:styleId="11">
    <w:name w:val="footnote text"/>
    <w:basedOn w:val="1"/>
    <w:unhideWhenUsed/>
    <w:qFormat/>
    <w:locked/>
    <w:uiPriority w:val="0"/>
    <w:pPr>
      <w:spacing w:before="60"/>
      <w:ind w:firstLine="482"/>
      <w:jc w:val="left"/>
    </w:pPr>
    <w:rPr>
      <w:rFonts w:ascii="Arial" w:hAnsi="Arial" w:eastAsia="仿宋_GB2312"/>
      <w:kern w:val="0"/>
      <w:sz w:val="18"/>
      <w:szCs w:val="18"/>
    </w:rPr>
  </w:style>
  <w:style w:type="paragraph" w:styleId="12">
    <w:name w:val="annotation subject"/>
    <w:basedOn w:val="8"/>
    <w:next w:val="8"/>
    <w:link w:val="43"/>
    <w:qFormat/>
    <w:uiPriority w:val="0"/>
    <w:rPr>
      <w:b/>
      <w:bCs/>
      <w:kern w:val="2"/>
      <w:sz w:val="21"/>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locked/>
    <w:uiPriority w:val="0"/>
    <w:rPr>
      <w:color w:val="0000FF"/>
      <w:u w:val="single"/>
    </w:rPr>
  </w:style>
  <w:style w:type="character" w:styleId="17">
    <w:name w:val="annotation reference"/>
    <w:semiHidden/>
    <w:qFormat/>
    <w:uiPriority w:val="0"/>
    <w:rPr>
      <w:sz w:val="21"/>
    </w:rPr>
  </w:style>
  <w:style w:type="paragraph" w:customStyle="1" w:styleId="1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19">
    <w:name w:val="表格 Char"/>
    <w:link w:val="20"/>
    <w:qFormat/>
    <w:locked/>
    <w:uiPriority w:val="0"/>
    <w:rPr>
      <w:rFonts w:ascii="Times New Roman" w:hAnsi="Times New Roman" w:eastAsia="宋体"/>
      <w:sz w:val="21"/>
    </w:rPr>
  </w:style>
  <w:style w:type="paragraph" w:customStyle="1" w:styleId="20">
    <w:name w:val="表格"/>
    <w:basedOn w:val="4"/>
    <w:next w:val="1"/>
    <w:link w:val="19"/>
    <w:qFormat/>
    <w:uiPriority w:val="0"/>
    <w:pPr>
      <w:adjustRightInd w:val="0"/>
      <w:snapToGrid w:val="0"/>
      <w:spacing w:line="240" w:lineRule="auto"/>
      <w:ind w:right="0"/>
      <w:jc w:val="center"/>
    </w:pPr>
    <w:rPr>
      <w:rFonts w:ascii="Times New Roman" w:hAnsi="Times New Roman" w:eastAsia="宋体"/>
      <w:sz w:val="21"/>
    </w:rPr>
  </w:style>
  <w:style w:type="paragraph" w:customStyle="1" w:styleId="21">
    <w:name w:val="表格标题"/>
    <w:basedOn w:val="20"/>
    <w:next w:val="1"/>
    <w:qFormat/>
    <w:uiPriority w:val="0"/>
    <w:pPr>
      <w:contextualSpacing/>
      <w:jc w:val="center"/>
    </w:pPr>
    <w:rPr>
      <w:rFonts w:ascii="Times New Roman" w:hAnsi="Times New Roman" w:eastAsia="宋体"/>
      <w:b/>
      <w:bCs/>
      <w:color w:val="000000"/>
      <w:sz w:val="24"/>
    </w:rPr>
  </w:style>
  <w:style w:type="paragraph" w:customStyle="1" w:styleId="22">
    <w:name w:val="表头"/>
    <w:basedOn w:val="1"/>
    <w:next w:val="1"/>
    <w:qFormat/>
    <w:uiPriority w:val="0"/>
    <w:pPr>
      <w:jc w:val="center"/>
    </w:pPr>
    <w:rPr>
      <w:rFonts w:eastAsia="黑体"/>
      <w:b/>
      <w:szCs w:val="21"/>
    </w:rPr>
  </w:style>
  <w:style w:type="paragraph" w:customStyle="1" w:styleId="23">
    <w:name w:val="表体"/>
    <w:qFormat/>
    <w:uiPriority w:val="0"/>
    <w:pPr>
      <w:jc w:val="center"/>
    </w:pPr>
    <w:rPr>
      <w:rFonts w:ascii="宋体" w:hAnsi="宋体" w:eastAsia="宋体" w:cs="Times New Roman"/>
      <w:color w:val="000000" w:themeColor="text1"/>
      <w:kern w:val="2"/>
      <w:sz w:val="24"/>
      <w:szCs w:val="24"/>
      <w:lang w:val="en-US" w:eastAsia="zh-CN" w:bidi="ar-SA"/>
      <w14:textFill>
        <w14:solidFill>
          <w14:schemeClr w14:val="tx1"/>
        </w14:solidFill>
      </w14:textFill>
    </w:rPr>
  </w:style>
  <w:style w:type="paragraph" w:customStyle="1" w:styleId="24">
    <w:name w:val="表格标题行"/>
    <w:basedOn w:val="1"/>
    <w:qFormat/>
    <w:uiPriority w:val="0"/>
    <w:pPr>
      <w:jc w:val="center"/>
    </w:pPr>
    <w:rPr>
      <w:rFonts w:ascii="Times New Roman" w:hAnsi="Times New Roman" w:eastAsia="宋体"/>
      <w:b/>
    </w:rPr>
  </w:style>
  <w:style w:type="paragraph" w:customStyle="1" w:styleId="25">
    <w:name w:val="表名"/>
    <w:basedOn w:val="22"/>
    <w:next w:val="1"/>
    <w:qFormat/>
    <w:uiPriority w:val="0"/>
    <w:pPr>
      <w:keepNext/>
      <w:spacing w:before="120"/>
    </w:pPr>
  </w:style>
  <w:style w:type="paragraph" w:customStyle="1" w:styleId="26">
    <w:name w:val="表中文字"/>
    <w:basedOn w:val="1"/>
    <w:qFormat/>
    <w:uiPriority w:val="0"/>
    <w:pPr>
      <w:adjustRightInd w:val="0"/>
      <w:jc w:val="center"/>
      <w:textAlignment w:val="baseline"/>
    </w:pPr>
    <w:rPr>
      <w:kern w:val="0"/>
      <w:szCs w:val="20"/>
    </w:rPr>
  </w:style>
  <w:style w:type="paragraph" w:customStyle="1" w:styleId="27">
    <w:name w:val="表格、图标题"/>
    <w:qFormat/>
    <w:uiPriority w:val="0"/>
    <w:pPr>
      <w:adjustRightInd w:val="0"/>
      <w:snapToGrid w:val="0"/>
      <w:jc w:val="center"/>
    </w:pPr>
    <w:rPr>
      <w:rFonts w:ascii="Times New Roman" w:hAnsi="Times New Roman" w:eastAsia="宋体" w:cs="Times New Roman"/>
      <w:b/>
      <w:sz w:val="24"/>
      <w:lang w:val="en-US" w:eastAsia="zh-CN" w:bidi="ar-SA"/>
    </w:rPr>
  </w:style>
  <w:style w:type="paragraph" w:customStyle="1" w:styleId="28">
    <w:name w:val="图表标题"/>
    <w:basedOn w:val="1"/>
    <w:qFormat/>
    <w:uiPriority w:val="0"/>
    <w:pPr>
      <w:tabs>
        <w:tab w:val="right" w:leader="dot" w:pos="8296"/>
      </w:tabs>
      <w:adjustRightInd w:val="0"/>
      <w:snapToGrid w:val="0"/>
      <w:jc w:val="center"/>
    </w:pPr>
    <w:rPr>
      <w:rFonts w:hint="eastAsia"/>
      <w:b/>
      <w:bCs/>
      <w:sz w:val="24"/>
    </w:rPr>
  </w:style>
  <w:style w:type="paragraph" w:customStyle="1" w:styleId="29">
    <w:name w:val="正文 首行缩进:  2 字符"/>
    <w:basedOn w:val="1"/>
    <w:qFormat/>
    <w:uiPriority w:val="0"/>
    <w:pPr>
      <w:ind w:firstLine="579" w:firstLineChars="200"/>
    </w:pPr>
    <w:rPr>
      <w:rFonts w:cs="宋体"/>
      <w:szCs w:val="20"/>
    </w:rPr>
  </w:style>
  <w:style w:type="paragraph" w:customStyle="1" w:styleId="30">
    <w:name w:val="Table Paragraph"/>
    <w:basedOn w:val="1"/>
    <w:qFormat/>
    <w:uiPriority w:val="1"/>
    <w:rPr>
      <w:rFonts w:ascii="宋体" w:hAnsi="宋体" w:cs="宋体"/>
      <w:lang w:val="zh-CN" w:bidi="zh-CN"/>
    </w:rPr>
  </w:style>
  <w:style w:type="paragraph" w:customStyle="1" w:styleId="31">
    <w:name w:val="表格文字"/>
    <w:basedOn w:val="1"/>
    <w:next w:val="1"/>
    <w:qFormat/>
    <w:uiPriority w:val="0"/>
    <w:pPr>
      <w:jc w:val="center"/>
    </w:pPr>
    <w:rPr>
      <w:rFonts w:ascii="仿宋_GB2312" w:hAnsi="Arial Black" w:eastAsia="仿宋_GB2312"/>
      <w:kern w:val="44"/>
      <w:sz w:val="24"/>
    </w:rPr>
  </w:style>
  <w:style w:type="paragraph" w:customStyle="1" w:styleId="32">
    <w:name w:val="列出段落1"/>
    <w:basedOn w:val="1"/>
    <w:autoRedefine/>
    <w:qFormat/>
    <w:uiPriority w:val="0"/>
    <w:pPr>
      <w:spacing w:line="360" w:lineRule="auto"/>
      <w:ind w:firstLine="420" w:firstLineChars="200"/>
    </w:pPr>
    <w:rPr>
      <w:sz w:val="24"/>
    </w:rPr>
  </w:style>
  <w:style w:type="paragraph" w:customStyle="1" w:styleId="33">
    <w:name w:val="正式文字"/>
    <w:basedOn w:val="1"/>
    <w:autoRedefine/>
    <w:qFormat/>
    <w:uiPriority w:val="0"/>
    <w:pPr>
      <w:adjustRightInd w:val="0"/>
      <w:snapToGrid w:val="0"/>
      <w:spacing w:line="400" w:lineRule="exact"/>
      <w:ind w:firstLine="480" w:firstLineChars="200"/>
    </w:pPr>
    <w:rPr>
      <w:rFonts w:eastAsia="仿宋_GB2312"/>
      <w:color w:val="FF0000"/>
      <w:sz w:val="24"/>
    </w:rPr>
  </w:style>
  <w:style w:type="paragraph" w:customStyle="1" w:styleId="34">
    <w:name w:val="Other|1"/>
    <w:basedOn w:val="1"/>
    <w:qFormat/>
    <w:uiPriority w:val="0"/>
    <w:pPr>
      <w:spacing w:after="80" w:line="314" w:lineRule="auto"/>
      <w:ind w:firstLine="400"/>
    </w:pPr>
    <w:rPr>
      <w:rFonts w:ascii="宋体" w:hAnsi="宋体" w:cs="宋体"/>
      <w:sz w:val="19"/>
      <w:szCs w:val="19"/>
      <w:lang w:val="zh-TW" w:eastAsia="zh-TW" w:bidi="zh-TW"/>
    </w:rPr>
  </w:style>
  <w:style w:type="paragraph" w:customStyle="1" w:styleId="35">
    <w:name w:val="Table Text"/>
    <w:basedOn w:val="1"/>
    <w:semiHidden/>
    <w:qFormat/>
    <w:uiPriority w:val="0"/>
    <w:rPr>
      <w:rFonts w:ascii="宋体" w:hAnsi="宋体" w:cs="宋体"/>
      <w:sz w:val="24"/>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表格标题博泵"/>
    <w:basedOn w:val="1"/>
    <w:qFormat/>
    <w:uiPriority w:val="0"/>
    <w:pPr>
      <w:adjustRightInd w:val="0"/>
      <w:snapToGrid w:val="0"/>
      <w:jc w:val="center"/>
      <w:textAlignment w:val="baseline"/>
    </w:pPr>
    <w:rPr>
      <w:b/>
      <w:color w:val="000000"/>
      <w:sz w:val="24"/>
      <w:szCs w:val="20"/>
    </w:rPr>
  </w:style>
  <w:style w:type="character" w:customStyle="1" w:styleId="38">
    <w:name w:val="font21"/>
    <w:basedOn w:val="15"/>
    <w:qFormat/>
    <w:uiPriority w:val="0"/>
    <w:rPr>
      <w:rFonts w:hint="default" w:ascii="Times New Roman" w:hAnsi="Times New Roman" w:cs="Times New Roman"/>
      <w:color w:val="000000"/>
      <w:sz w:val="21"/>
      <w:szCs w:val="21"/>
      <w:u w:val="none"/>
    </w:rPr>
  </w:style>
  <w:style w:type="character" w:customStyle="1" w:styleId="39">
    <w:name w:val="font51"/>
    <w:basedOn w:val="15"/>
    <w:qFormat/>
    <w:uiPriority w:val="0"/>
    <w:rPr>
      <w:rFonts w:hint="default" w:ascii="Times New Roman" w:hAnsi="Times New Roman" w:cs="Times New Roman"/>
      <w:color w:val="000000"/>
      <w:sz w:val="21"/>
      <w:szCs w:val="21"/>
      <w:u w:val="none"/>
      <w:vertAlign w:val="subscript"/>
    </w:rPr>
  </w:style>
  <w:style w:type="character" w:customStyle="1" w:styleId="40">
    <w:name w:val="font11"/>
    <w:basedOn w:val="15"/>
    <w:qFormat/>
    <w:uiPriority w:val="0"/>
    <w:rPr>
      <w:rFonts w:hint="eastAsia" w:ascii="方正仿宋_GB2312" w:hAnsi="方正仿宋_GB2312" w:eastAsia="方正仿宋_GB2312" w:cs="方正仿宋_GB2312"/>
      <w:b/>
      <w:bCs/>
      <w:color w:val="000000"/>
      <w:sz w:val="21"/>
      <w:szCs w:val="21"/>
      <w:u w:val="none"/>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批注文字 字符"/>
    <w:basedOn w:val="15"/>
    <w:link w:val="8"/>
    <w:semiHidden/>
    <w:qFormat/>
    <w:uiPriority w:val="0"/>
    <w:rPr>
      <w:sz w:val="24"/>
    </w:rPr>
  </w:style>
  <w:style w:type="character" w:customStyle="1" w:styleId="43">
    <w:name w:val="批注主题 字符"/>
    <w:basedOn w:val="42"/>
    <w:link w:val="12"/>
    <w:qFormat/>
    <w:uiPriority w:val="0"/>
    <w:rPr>
      <w:b/>
      <w:bCs/>
      <w:kern w:val="2"/>
      <w:sz w:val="21"/>
      <w:szCs w:val="24"/>
    </w:rPr>
  </w:style>
  <w:style w:type="character" w:customStyle="1" w:styleId="44">
    <w:name w:val="font31"/>
    <w:basedOn w:val="15"/>
    <w:qFormat/>
    <w:uiPriority w:val="0"/>
    <w:rPr>
      <w:rFonts w:hint="default" w:ascii="Times New Roman" w:hAnsi="Times New Roman" w:cs="Times New Roman"/>
      <w:color w:val="000000"/>
      <w:sz w:val="24"/>
      <w:szCs w:val="24"/>
      <w:u w:val="none"/>
    </w:rPr>
  </w:style>
  <w:style w:type="paragraph" w:customStyle="1" w:styleId="45">
    <w:name w:val="03表格gw"/>
    <w:basedOn w:val="1"/>
    <w:unhideWhenUsed/>
    <w:qFormat/>
    <w:uiPriority w:val="0"/>
    <w:pPr>
      <w:adjustRightInd w:val="0"/>
      <w:snapToGrid w:val="0"/>
      <w:spacing w:beforeLines="20" w:afterLines="20" w:line="240" w:lineRule="auto"/>
      <w:ind w:firstLine="0" w:firstLineChars="0"/>
      <w:jc w:val="center"/>
    </w:pPr>
    <w:rPr>
      <w:sz w:val="21"/>
    </w:rPr>
  </w:style>
  <w:style w:type="paragraph" w:customStyle="1" w:styleId="46">
    <w:name w:val="表格 内容"/>
    <w:qFormat/>
    <w:uiPriority w:val="0"/>
    <w:pPr>
      <w:jc w:val="center"/>
    </w:pPr>
    <w:rPr>
      <w:rFonts w:ascii="Times New Roman" w:hAnsi="Times New Roman" w:eastAsia="宋体" w:cs="Times New Roman"/>
      <w:b/>
      <w:kern w:val="2"/>
      <w:sz w:val="21"/>
      <w:szCs w:val="21"/>
      <w:lang w:val="en-US" w:eastAsia="zh-CN" w:bidi="ar-SA"/>
    </w:rPr>
  </w:style>
  <w:style w:type="paragraph" w:customStyle="1" w:styleId="47">
    <w:name w:val="表格内容"/>
    <w:basedOn w:val="21"/>
    <w:next w:val="1"/>
    <w:qFormat/>
    <w:uiPriority w:val="0"/>
    <w:pPr>
      <w:spacing w:line="240" w:lineRule="atLeast"/>
      <w:ind w:firstLine="0" w:firstLineChars="0"/>
      <w:jc w:val="center"/>
    </w:pPr>
    <w:rPr>
      <w:kern w:val="0"/>
      <w:sz w:val="21"/>
      <w:szCs w:val="20"/>
    </w:rPr>
  </w:style>
  <w:style w:type="paragraph" w:customStyle="1" w:styleId="48">
    <w:name w:val="hhcwt正文"/>
    <w:basedOn w:val="1"/>
    <w:qFormat/>
    <w:uiPriority w:val="0"/>
    <w:pPr>
      <w:spacing w:line="360" w:lineRule="auto"/>
      <w:ind w:firstLine="480"/>
    </w:pPr>
    <w:rPr>
      <w:szCs w:val="20"/>
    </w:rPr>
  </w:style>
  <w:style w:type="paragraph" w:customStyle="1" w:styleId="49">
    <w:name w:val="博泵1"/>
    <w:basedOn w:val="1"/>
    <w:qFormat/>
    <w:uiPriority w:val="0"/>
    <w:pPr>
      <w:adjustRightInd w:val="0"/>
      <w:spacing w:line="480" w:lineRule="exact"/>
      <w:ind w:firstLine="200" w:firstLineChars="200"/>
      <w:jc w:val="left"/>
      <w:textAlignment w:val="baseline"/>
    </w:pPr>
    <w:rPr>
      <w:rFonts w:ascii="Times New Roman" w:hAnsi="宋体" w:cs="宋体"/>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41715</Words>
  <Characters>49632</Characters>
  <Lines>319</Lines>
  <Paragraphs>89</Paragraphs>
  <TotalTime>5</TotalTime>
  <ScaleCrop>false</ScaleCrop>
  <LinksUpToDate>false</LinksUpToDate>
  <CharactersWithSpaces>50179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自由之翼</cp:lastModifiedBy>
  <cp:lastPrinted>2024-09-23T06:31:00Z</cp:lastPrinted>
  <dcterms:modified xsi:type="dcterms:W3CDTF">2024-10-21T03:18:16Z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C41E2CA0CFC0404EA9DDF3EF49209BEC_13</vt:lpwstr>
  </property>
</Properties>
</file>